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7.png" ContentType="image/png"/>
  <Override PartName="/word/media/rId43.png" ContentType="image/png"/>
  <Override PartName="/word/media/rId64.png" ContentType="image/png"/>
  <Override PartName="/word/media/rId143.jpg" ContentType="image/jpeg"/>
  <Override PartName="/word/media/rId33.png" ContentType="image/png"/>
  <Override PartName="/word/media/rId39.png" ContentType="image/png"/>
  <Override PartName="/word/media/rId93.png" ContentType="image/png"/>
  <Override PartName="/word/media/rId173.png" ContentType="image/png"/>
  <Override PartName="/word/media/rId172.png" ContentType="image/png"/>
  <Override PartName="/word/media/rId168.png" ContentType="image/png"/>
  <Override PartName="/word/media/rId167.png" ContentType="image/png"/>
  <Override PartName="/word/media/rId81.png" ContentType="image/png"/>
  <Override PartName="/word/media/rId77.png" ContentType="image/png"/>
  <Override PartName="/word/media/rId79.png" ContentType="image/png"/>
  <Override PartName="/word/media/rId80.png" ContentType="image/png"/>
  <Override PartName="/word/media/rId75.png" ContentType="image/png"/>
  <Override PartName="/word/media/rId83.png" ContentType="image/png"/>
  <Override PartName="/word/media/rId181.png" ContentType="image/png"/>
  <Override PartName="/word/media/rId125.png" ContentType="image/png"/>
  <Override PartName="/word/media/rId122.png" ContentType="image/png"/>
  <Override PartName="/word/media/rId120.png" ContentType="image/png"/>
  <Override PartName="/word/media/rId174.png" ContentType="image/png"/>
  <Override PartName="/word/media/rId115.png" ContentType="image/png"/>
  <Override PartName="/word/media/rId118.png" ContentType="image/png"/>
  <Override PartName="/word/media/rId111.png" ContentType="image/png"/>
  <Override PartName="/word/media/rId113.png" ContentType="image/png"/>
  <Override PartName="/word/media/rId103.png" ContentType="image/png"/>
  <Override PartName="/word/media/rId107.png" ContentType="image/png"/>
  <Override PartName="/word/media/rId105.png" ContentType="image/png"/>
  <Override PartName="/word/media/rId180.png" ContentType="image/png"/>
  <Override PartName="/word/media/rId179.png" ContentType="image/png"/>
  <Override PartName="/word/media/rId66.png" ContentType="image/png"/>
  <Override PartName="/word/media/rId67.png" ContentType="image/png"/>
  <Override PartName="/word/media/rId159.png" ContentType="image/png"/>
  <Override PartName="/word/media/rId158.png" ContentType="image/png"/>
  <Override PartName="/word/media/rId157.png" ContentType="image/png"/>
  <Override PartName="/word/media/rId156.png" ContentType="image/png"/>
  <Override PartName="/word/media/rId59.png" ContentType="image/png"/>
  <Override PartName="/word/media/rId57.png" ContentType="image/png"/>
  <Override PartName="/word/media/rId154.png" ContentType="image/png"/>
  <Override PartName="/word/media/rId61.png" ContentType="image/png"/>
  <Override PartName="/word/media/rId127.png" ContentType="image/png"/>
  <Override PartName="/word/media/rId165.png" ContentType="image/png"/>
  <Override PartName="/word/media/rId164.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quantity</w:t>
      </w:r>
      <w:r>
        <w:t xml:space="preserve"> </w:t>
      </w:r>
      <w:r>
        <w:t xml:space="preserve">(as</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quality</w:t>
      </w:r>
      <w:r>
        <w:t xml:space="preserve"> </w:t>
      </w:r>
      <w:r>
        <w:t xml:space="preserve">(via</w:t>
      </w:r>
      <w:r>
        <w:t xml:space="preserve"> </w:t>
      </w:r>
      <w:r>
        <w:t xml:space="preserve">UV-Vis</w:t>
      </w:r>
      <w:r>
        <w:t xml:space="preserve"> </w:t>
      </w:r>
      <w:r>
        <w:t xml:space="preserve">spectroscopy)</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Monitoring source water quality and hydrologic dynamics is a crucial part of a multi-barrier approach to clean drinking water. This research established a stream water sampling program across a second-growth forested drinking water supply area (Greater Victoria, British Columbia, Canada) to evaluate spatial and temporal patterns and variance in natural organic matter (NOM), a master variable in aquatic systems. Over sixteen months (October 2018 to February 2020), 426 stream water samples were collected from twelve sites (ranging in size from 9.6 to 37 km</w:t>
      </w:r>
      <w:r>
        <w:rPr>
          <w:vertAlign w:val="superscript"/>
        </w:rPr>
        <w:t xml:space="preserve">2</w:t>
      </w:r>
      <w:r>
        <w:t xml:space="preserve">, elevation 215 to 870 m a.s.l) and were measured for NOM quality (via UV-Vis absorbance parameters) and quantity (as dissolved organic carbon, DOC). Mean sub-basin DOC concentrations ranged from 4.2 ± 1.8 mg L</w:t>
      </w:r>
      <w:r>
        <w:rPr>
          <w:vertAlign w:val="superscript"/>
        </w:rPr>
        <w:t xml:space="preserve">-1</w:t>
      </w:r>
      <w:r>
        <w:t xml:space="preserve"> </w:t>
      </w:r>
      <w:r>
        <w:t xml:space="preserve">to 9.9 ± 3.4 mg L</w:t>
      </w:r>
      <w:r>
        <w:rPr>
          <w:vertAlign w:val="superscript"/>
        </w:rPr>
        <w:t xml:space="preserve">-1</w:t>
      </w:r>
      <w:r>
        <w:t xml:space="preserve"> </w:t>
      </w:r>
      <w:r>
        <w:t xml:space="preserve">(DOC range spanned 1.64 - 19.1 mg L</w:t>
      </w:r>
      <w:r>
        <w:rPr>
          <w:vertAlign w:val="superscript"/>
        </w:rPr>
        <w:t xml:space="preserve">-1</w:t>
      </w:r>
      <w:r>
        <w:t xml:space="preserve">). From upstream to downstream NOM quantity and reactive character decreased. There was a seasonal shift in NOM character, from predominantly aliphatic in the dry season to predominantly aromatic in the wet season. Antecedent wetness was important for stream NOM molecular quality, and hydrologic connectivity to terrestrial source pools increased throughout the wet season. Approximately 80% of the time, DOC concentration peaked with stage. Early wet season NOM was not stable when held for 11 days (should be analyzed immediately), whereas the more aromatic, allochthonous NOM found in mid to late wet season samples was stable up to 20 days at temperatures between 0-7° C. DOC concentration was loosely correlated to air temperature, with higher concentrations occurring at warmer temperatures and lower concentrations occurring at lower temperatures; and freezing changed NOM molecular attributes in samples. Sub-sets of samples were evaluated for drinking water treatability parameters (n = 8) and total metals contents (n = 42). Dissolved organic carbon (DOC) concentration was well correlated with several metals (R</w:t>
      </w:r>
      <w:r>
        <w:rPr>
          <w:vertAlign w:val="superscript"/>
        </w:rPr>
        <w:t xml:space="preserve">2</w:t>
      </w:r>
      <w:r>
        <w:t xml:space="preserve"> </w:t>
      </w:r>
      <w:r>
        <w:t xml:space="preserve">values for Hg: 0.99; Al: 0.81; Fe: 0.72; Cu: 0.47; Ba: 0.25; Mn: 0.21), evidence that NOM is indeed a master variable important in contaminant transport. Evaluation of treatability data with UV-Vis spectroscopic results revealed the spectral absorbance coefficient at 254 nm (SAC254) was a better indicator of disinfection byproduct formation potential (DBP-FP) than was DOC concentration or specific UV absorbance at 254 nm (SUVA254). SAC254 was well correlated with total trihalomethanes (r = 0.9882) and total haloacetic acids (HAAs, r = 0.9927), but was only weakly correlated to bromodichloromethane (BDCM, r = 0.6539). Six sites in the Leech River watershed (~96 km</w:t>
      </w:r>
      <w:r>
        <w:rPr>
          <w:vertAlign w:val="superscript"/>
        </w:rPr>
        <w:t xml:space="preserve">2</w:t>
      </w:r>
      <w:r>
        <w:t xml:space="preserve">), future supplemental drinking water supply area, were studied with vertical passive sampling racks to evaluate aqueous NOM dynamics on the rising hydrograph limb. Random Forest variable importance measure (RF VIM) evaluation of monitoring site data identified warm and wet conditions as key drivers for NOM dynamics. RF VIM showed that forest age and harvest history were important predictor variables for NOM aromaticity and molecular size but determined that subsurface parent material was a more important driver for NOM quantity and quality. Results were framed in context of continued water quality monitoring and planning for drinking water supply and future inter-basin transfers.</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abstract</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r>
        <w:tc>
          <w:p>
            <w:pPr>
              <w:pStyle w:val="Compact"/>
              <w:jc w:val="left"/>
            </w:pPr>
            <w:r>
              <w:t xml:space="preserve">WSA</w:t>
            </w:r>
          </w:p>
        </w:tc>
        <w:tc>
          <w:p>
            <w:pPr>
              <w:pStyle w:val="Compact"/>
              <w:jc w:val="left"/>
            </w:pPr>
            <w:r>
              <w:t xml:space="preserve">Water Supply Area</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absorbance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 expressed in units of volume per time (e.g. cubic meters per second)</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 of source water</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haloacetonitriles, haloketones)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85c3f0816dce2ef814ba33ad3273486f6cb55c0"/>
      <w:r>
        <w:t xml:space="preserve">Forested source water and drinking water treatment</w:t>
      </w:r>
      <w:bookmarkEnd w:id="27"/>
    </w:p>
    <w:p>
      <w:pPr>
        <w:pStyle w:val="FirstParagraph"/>
      </w:pPr>
      <w:r>
        <w:t xml:space="preserve">Over 85% of Canadians and approximately 80% of British Columbians depending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including slowing and filtering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drinking water is deemed safe for human use and consumption if it meets Health Canada drinking water quality guidelines, which specify limits for biological, physical and chemical parameters</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remove substances which may pose a health risk, source water is treated. Treatment technologies differ among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 Chlorination may be used alone or in combination with other treatment processes, such as combinations of physical filtration, chemically assisted filtration, reverse osmosis, and advanced oxidative processes</w:t>
      </w:r>
      <w:r>
        <w:t xml:space="preserve"> </w:t>
      </w:r>
      <w:r>
        <w:t xml:space="preserve">(Levine, Yang, and Goodrich</w:t>
      </w:r>
      <w:r>
        <w:t xml:space="preserve"> </w:t>
      </w:r>
      <w:hyperlink w:anchor="ref-Levine2016">
        <w:r>
          <w:rPr>
            <w:rStyle w:val="Hyperlink"/>
          </w:rPr>
          <w:t xml:space="preserve">2016</w:t>
        </w:r>
      </w:hyperlink>
      <w:r>
        <w:t xml:space="preserve">; 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w:t>
      </w:r>
    </w:p>
    <w:p>
      <w:pPr>
        <w:pStyle w:val="BodyText"/>
      </w:pPr>
      <w:r>
        <w:t xml:space="preserve"> </w:t>
      </w:r>
    </w:p>
    <w:p>
      <w:pPr>
        <w:pStyle w:val="BodyText"/>
      </w:pPr>
      <w:r>
        <w:t xml:space="preserve">Drinking water treatment requirements vary with source water quality</w:t>
      </w:r>
      <w:r>
        <w:t xml:space="preserve"> </w:t>
      </w:r>
      <w:r>
        <w:t xml:space="preserve">(Levine, Yang, and Goodrich</w:t>
      </w:r>
      <w:r>
        <w:t xml:space="preserve"> </w:t>
      </w:r>
      <w:hyperlink w:anchor="ref-Levine2016">
        <w:r>
          <w:rPr>
            <w:rStyle w:val="Hyperlink"/>
          </w:rPr>
          <w:t xml:space="preserve">2016</w:t>
        </w:r>
      </w:hyperlink>
      <w:r>
        <w:t xml:space="preserve">)</w:t>
      </w:r>
      <w:r>
        <w:t xml:space="preserve">,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Source water quality affects treatment requirements, thus there are guidelines for parameters like turbidity, temperature, dissolved oxygen, pH and dissolved organic matter.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 Because of this, having both an understanding of source water dynamics and impacts of land use/disturbance is critical to designing effective treatment.</w:t>
      </w:r>
    </w:p>
    <w:p>
      <w:pPr>
        <w:pStyle w:val="BodyText"/>
      </w:pPr>
      <w:r>
        <w:t xml:space="preserve"> </w:t>
      </w:r>
    </w:p>
    <w:p>
      <w:pPr>
        <w:pStyle w:val="Heading4"/>
      </w:pPr>
      <w:bookmarkStart w:id="28" w:name="Xa023054c7d90f9a148ca9bb87f291e71efc1eef"/>
      <w:r>
        <w:t xml:space="preserve">Aqueous natural organic matter (NOM) in drinking source water supply</w:t>
      </w:r>
      <w:bookmarkEnd w:id="28"/>
    </w:p>
    <w:p>
      <w:pPr>
        <w:pStyle w:val="FirstParagraph"/>
      </w:pPr>
      <w:r>
        <w:t xml:space="preserve">Aqueous natural organic matter (NOM) exists in complex and diverse combinations of particulate, colloidal and dissolved fractions that originate from a variety of sources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(Kellerman et al.</w:t>
      </w:r>
      <w:r>
        <w:t xml:space="preserve"> </w:t>
      </w:r>
      <w:hyperlink w:anchor="ref-Kellerman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Therefore, NOM concentration and character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which may create unpalatable drinking water, but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For treatement plants that perform chemically assisted filtration, elevated levels of NOM in source water can affect coagulation efficiency and increase coagulant demand and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can be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BodyText"/>
      </w:pPr>
      <w:r>
        <w:t xml:space="preserve">In addition to acting as a precursor for DBPs, DOC (therefore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Treatability concerns could result from natural fluctuations in NOM character and concentrations across a water supply area and over time</w:t>
      </w:r>
      <w:r>
        <w:t xml:space="preserve"> </w:t>
      </w:r>
      <w:r>
        <w:t xml:space="preserve">(Levine, Yang, and Goodrich</w:t>
      </w:r>
      <w:r>
        <w:t xml:space="preserve"> </w:t>
      </w:r>
      <w:hyperlink w:anchor="ref-Levine2016">
        <w:r>
          <w:rPr>
            <w:rStyle w:val="Hyperlink"/>
          </w:rPr>
          <w:t xml:space="preserve">2016</w:t>
        </w:r>
      </w:hyperlink>
      <w:r>
        <w:t xml:space="preserve">; 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 molecular composition and physical structure of NOM influence its functionality and reactivity, therefore different types of aqueous NOM have different disinfection by-product formation potentials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Therefore, monitoring DOC (as a proxy for NOM) is important for addressing operational issues that could arise from NOM in source water. Furthermore, site-specific knowledge of relationships between DOC and other water quality parameters or contaminants (e.g. metals, nutrients, algae blooms) could allow for extrapolation, if indeed NOM is a master variable.</w:t>
      </w:r>
    </w:p>
    <w:p>
      <w:pPr>
        <w:pStyle w:val="BodyText"/>
      </w:pPr>
      <w:r>
        <w:t xml:space="preserve"> </w:t>
      </w:r>
    </w:p>
    <w:p>
      <w:pPr>
        <w:pStyle w:val="Heading5"/>
      </w:pPr>
      <w:bookmarkStart w:id="29" w:name="X59ad23f69c693a4f9f8ff941d0905fa376616e4"/>
      <w:r>
        <w:t xml:space="preserve">Spectroscopic assessment of NOM molecular quality</w:t>
      </w:r>
      <w:bookmarkEnd w:id="29"/>
    </w:p>
    <w:p>
      <w:pPr>
        <w:pStyle w:val="FirstParagraph"/>
      </w:pPr>
      <w:r>
        <w:t xml:space="preserve">Given certain physiochemical properties, the molecular structure of NOM can be assessed through spectrophotometry.Ultraviolet and visible light (UV-Vis) absorption requires that a molecule contains a conjugated pi-bond system (i.e. a chromophore), an electronic structure that is common in aromatic molecules and often absent in aliphatic molecules. Therefore, UV-Vis absorption by NOM is inherently indicative of chromophoric composition and thus aromaticity. The wavelength of light absorption is proportional to the length of the molecule’s conjugated pi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w:t>
      </w:r>
    </w:p>
    <w:p>
      <w:pPr>
        <w:pStyle w:val="BodyText"/>
      </w:pPr>
      <w:r>
        <w:t xml:space="preserve"> </w:t>
      </w:r>
    </w:p>
    <w:p>
      <w:pPr>
        <w:pStyle w:val="BodyText"/>
      </w:pPr>
      <w:r>
        <w:t xml:space="preserve">Allochthonous NOM (i.e. humic substances) are more aromatic than aliphatic and the specific absorbance coefficient at 254 nm (SAC</w:t>
      </w:r>
      <w:r>
        <w:rPr>
          <w:vertAlign w:val="subscript"/>
        </w:rPr>
        <w:t xml:space="preserve">254</w:t>
      </w:r>
      <w:r>
        <w:t xml:space="preserve">, absorbance relative to pathlength) 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indicates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SUVA</w:t>
      </w:r>
      <w:r>
        <w:rPr>
          <w:vertAlign w:val="subscript"/>
        </w:rPr>
        <w:t xml:space="preserve">254</w:t>
      </w:r>
      <w:r>
        <w:t xml:space="preserve"> </w:t>
      </w:r>
      <w:r>
        <w:t xml:space="preserve">is the ratio of SAC</w:t>
      </w:r>
      <w:r>
        <w:rPr>
          <w:vertAlign w:val="subscript"/>
        </w:rPr>
        <w:t xml:space="preserve">254</w:t>
      </w:r>
      <w:r>
        <w:t xml:space="preserve"> </w:t>
      </w:r>
      <w:r>
        <w:t xml:space="preserve">normalized to a samples’ DOC concentration (SUVA</w:t>
      </w:r>
      <w:r>
        <w:rPr>
          <w:vertAlign w:val="subscript"/>
        </w:rPr>
        <w:t xml:space="preserve">254</w:t>
      </w:r>
      <w:r>
        <w:t xml:space="preserve"> </w:t>
      </w:r>
      <w:r>
        <w:t xml:space="preserve">= SAC</w:t>
      </w:r>
      <w:r>
        <w:rPr>
          <w:vertAlign w:val="subscript"/>
        </w:rPr>
        <w:t xml:space="preserve">254</w:t>
      </w:r>
      <w:r>
        <w:t xml:space="preserve">/DOC)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NOM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 formation potentials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SAC</w:t>
      </w:r>
      <w:r>
        <w:rPr>
          <w:vertAlign w:val="subscript"/>
        </w:rPr>
        <w:t xml:space="preserve">254</w:t>
      </w:r>
      <w:r>
        <w:t xml:space="preserve"> </w:t>
      </w:r>
      <w:r>
        <w:t xml:space="preserve">or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absorbance 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is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NOM aromaticity and size are important when considering treatability factors such as biofouling, filter clogging and interference with UV disinfection.</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NOM quality and quantity vary widely in source waters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quantity and quality of aqueous NOM fluctuate through space and time in dynamic equilibrium with physical parameters (such as stream morphology and runoff inputs), sediment loads and transport, and biological factors.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quantity and quality. For example, the molecular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regimes,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(57%-86%)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While treatment infrastructure can be designed and adjusted to handle a range of source water conditions, rapid changes and dramatic variations associated with hydrologic pulses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 Therefore, the timing and magnitude of DOC flux is important for drinking water treatment considerations.</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w:t>
      </w:r>
      <w:r>
        <w:t xml:space="preserve"> </w:t>
      </w:r>
      <w:r>
        <w:t xml:space="preserve">(Emelko et al.</w:t>
      </w:r>
      <w:r>
        <w:t xml:space="preserve"> </w:t>
      </w:r>
      <w:hyperlink w:anchor="ref-Emelko2011">
        <w:r>
          <w:rPr>
            <w:rStyle w:val="Hyperlink"/>
          </w:rPr>
          <w:t xml:space="preserve">2011</w:t>
        </w:r>
      </w:hyperlink>
      <w:r>
        <w:t xml:space="preserve">)</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intensified precipitation, earlier or more intense freshet conditions, or changes in subsurface flow and connectivity</w:t>
      </w:r>
      <w:r>
        <w:t xml:space="preserve"> </w:t>
      </w:r>
      <w:r>
        <w:t xml:space="preserve">(Jiménez Cisneros et al.</w:t>
      </w:r>
      <w:r>
        <w:t xml:space="preserve"> </w:t>
      </w:r>
      <w:hyperlink w:anchor="ref-JimenezCisneros2014">
        <w:r>
          <w:rPr>
            <w:rStyle w:val="Hyperlink"/>
          </w:rPr>
          <w:t xml:space="preserve">2014</w:t>
        </w:r>
      </w:hyperlink>
      <w:r>
        <w:t xml:space="preserve">)</w:t>
      </w:r>
      <w:r>
        <w:t xml:space="preserve">. Thus, drinking water treatment challenges could arise in response to more variable source water conditions</w:t>
      </w:r>
      <w:r>
        <w:t xml:space="preserve"> </w:t>
      </w:r>
      <w:r>
        <w:t xml:space="preserve">(Emelko et al.</w:t>
      </w:r>
      <w:r>
        <w:t xml:space="preserve"> </w:t>
      </w:r>
      <w:hyperlink w:anchor="ref-Emelko2011">
        <w:r>
          <w:rPr>
            <w:rStyle w:val="Hyperlink"/>
          </w:rPr>
          <w:t xml:space="preserve">2011</w:t>
        </w:r>
      </w:hyperlink>
      <w:r>
        <w:t xml:space="preserve">)</w:t>
      </w:r>
      <w:r>
        <w:t xml:space="preserve">, and DOC flux is expected to increase with climate change</w:t>
      </w:r>
      <w:r>
        <w:t xml:space="preserve"> </w:t>
      </w:r>
      <w:r>
        <w:t xml:space="preserve">(Rasilo et al.</w:t>
      </w:r>
      <w:r>
        <w:t xml:space="preserve"> </w:t>
      </w:r>
      <w:hyperlink w:anchor="ref-Rasilo2015">
        <w:r>
          <w:rPr>
            <w:rStyle w:val="Hyperlink"/>
          </w:rPr>
          <w:t xml:space="preserve">2015</w:t>
        </w:r>
      </w:hyperlink>
      <w:r>
        <w:t xml:space="preserve">)</w:t>
      </w:r>
      <w:r>
        <w:t xml:space="preserve">. For forested source water supply areas, developing a better understanding of hydrochemical dynamics and response to landscape changes (e.g. wildfire, forest management, mass wasting events) could bolster drinking water security by developing source water protection plans to facilitate more predictable treatment requirements</w:t>
      </w:r>
      <w:r>
        <w:t xml:space="preserve"> </w:t>
      </w:r>
      <w:r>
        <w:t xml:space="preserve">(Emelko et al.</w:t>
      </w:r>
      <w:r>
        <w:t xml:space="preserve"> </w:t>
      </w:r>
      <w:hyperlink w:anchor="ref-Emelko2011">
        <w:r>
          <w:rPr>
            <w:rStyle w:val="Hyperlink"/>
          </w:rPr>
          <w:t xml:space="preserve">2011</w:t>
        </w:r>
      </w:hyperlink>
      <w:r>
        <w:t xml:space="preserve">)</w:t>
      </w:r>
      <w:r>
        <w:t xml:space="preserve">.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(starting around $3K CAD), and require a reliable power source which can pose logistical challenges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2015</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To gain baseline information in anticipation of Leech River water being used as supplemental drinking water supply, CRD hydrology and water quality monitoring programs for the Leech WSA began in 2017. Results from these programs in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(Appendix A) to better understand variations in source water quality across second-growth forested watersheds, primarily with respect to the dynamics of NOM quantity and quality.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quality and quantity vary through space and time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DOC concentrations and UV-Vis spectral properties of NOM characteristics.</w:t>
      </w:r>
    </w:p>
    <w:p>
      <w:pPr>
        <w:pStyle w:val="BodyText"/>
      </w:pPr>
      <w:r>
        <w:t xml:space="preserve"> </w:t>
      </w:r>
    </w:p>
    <w:p>
      <w:pPr>
        <w:pStyle w:val="BodyText"/>
      </w:pPr>
      <w:r>
        <w:rPr>
          <w:b/>
        </w:rPr>
        <w:t xml:space="preserve">Research Question 2.</w:t>
      </w:r>
      <w:r>
        <w:t xml:space="preserve"> </w:t>
      </w:r>
      <w:r>
        <w:t xml:space="preserve">What are the primary drivers within watershed characteristics (e.g. slope or land-cover) and hydroclimatic conditions (e.g. antecedent rain) for changes in NOM quantity and quality in the Leech watershed?</w:t>
      </w:r>
    </w:p>
    <w:p>
      <w:pPr>
        <w:pStyle w:val="BodyText"/>
      </w:pPr>
      <w:r>
        <w:rPr>
          <w:b/>
        </w:rPr>
        <w:t xml:space="preserve">Objective 2:</w:t>
      </w:r>
      <w:r>
        <w:t xml:space="preserve"> </w:t>
      </w:r>
      <w:r>
        <w:t xml:space="preserve">Explore relationships between water sample results of NOM quantity and quality to watershed characteristics and sampling conditions to identify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monitoring sites in the Leech WSA to evaluate research findings in context of watershed drivers for NOM dynamics. A comprehensive summary follows in Chapter 5.</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A combination of synoptic and event-based sampling was used to capture broad spatial and temporal dynamics of aqueous NOM across the GVWSA. The sampling design considered both limitations and resource constraints for manually collecting data through events and making continuous measurements. This chapter details methods and foundational results that are common to all subsequent chapters.</w:t>
      </w:r>
    </w:p>
    <w:p>
      <w:pPr>
        <w:pStyle w:val="BodyText"/>
      </w:pPr>
      <w:r>
        <w:t xml:space="preserve"> </w:t>
      </w:r>
    </w:p>
    <w:p>
      <w:pPr>
        <w:pStyle w:val="BodyText"/>
      </w:pPr>
      <w:r>
        <w:t xml:space="preserve">Surface water samples were collected between October 2018 and February 2020 to measure the quantity and quality of aqueous natural organic matter (NOM) through space and time in the Greater Victoria Water Supply Area (GVWSA). Samples were analyzed at UBC for dissolved organic carbon (DOC) concentration and NOM molecular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twelve sites across the Sooke and Leech water supply areas (WSA), as well as installation of monitoring and sampling stations at six sites in the Leech WSA.</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Creek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is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Creek and Chris Creek sub-basins; Weeks sub-basin (11.52 km</w:t>
      </w:r>
      <w:r>
        <w:rPr>
          <w:vertAlign w:val="superscript"/>
        </w:rPr>
        <w:t xml:space="preserve">2</w:t>
      </w:r>
      <w:r>
        <w:t xml:space="preserve">) encompassed Weeks Lake and surrounding wetlands (Jordan Meadows fen), and Chris Creek sub-basin (5.8 km</w:t>
      </w:r>
      <w:r>
        <w:rPr>
          <w:vertAlign w:val="superscript"/>
        </w:rPr>
        <w:t xml:space="preserve">2</w:t>
      </w:r>
      <w:r>
        <w:t xml:space="preserve">) included smaller Worley Lake. Below the confluence of Weeks and Chris Creeks is the Leech-head site (20.59 km</w:t>
      </w:r>
      <w:r>
        <w:rPr>
          <w:vertAlign w:val="superscript"/>
        </w:rPr>
        <w:t xml:space="preserve">2</w:t>
      </w:r>
      <w:r>
        <w:t xml:space="preserve"> </w:t>
      </w:r>
      <w:r>
        <w:t xml:space="preserve">sub-basin).</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numbers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primarily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synoptic sampling sites in the Leech and Sooke portions of Greater Victoria water supply areas</w:t>
      </w:r>
    </w:p>
    <w:tbl>
      <w:tblPr>
        <w:tblStyle w:val="Table"/>
        <w:tblW w:type="pct" w:w="4999.999999999999"/>
        <w:tblLook w:firstRow="1"/>
        <w:tblCaption w:val="Table 3: Watershed characteristics of synoptic sampling sites in the Leech and Sooke portions of Greater Victoria water supply areas"/>
      </w:tblPr>
      <w:tblGrid>
        <w:gridCol w:w="678"/>
        <w:gridCol w:w="339"/>
        <w:gridCol w:w="377"/>
        <w:gridCol w:w="565"/>
        <w:gridCol w:w="565"/>
        <w:gridCol w:w="792"/>
        <w:gridCol w:w="867"/>
        <w:gridCol w:w="678"/>
        <w:gridCol w:w="565"/>
        <w:gridCol w:w="1244"/>
        <w:gridCol w:w="1244"/>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Strahler order</w:t>
            </w:r>
          </w:p>
        </w:tc>
        <w:tc>
          <w:tcPr>
            <w:tcBorders>
              <w:bottom w:val="single"/>
            </w:tcBorders>
            <w:vAlign w:val="bottom"/>
          </w:tcPr>
          <w:p>
            <w:pPr>
              <w:pStyle w:val="Compact"/>
              <w:jc w:val="right"/>
            </w:pPr>
            <w:r>
              <w:t xml:space="preserve">Drainage km</w:t>
            </w:r>
            <w:r>
              <w:rPr>
                <w:vertAlign w:val="superscript"/>
              </w:rPr>
              <w:t xml:space="preserve">2</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right"/>
            </w:pPr>
            <w:r>
              <w:t xml:space="preserve">Slope median (degrees)</w:t>
            </w:r>
          </w:p>
        </w:tc>
        <w:tc>
          <w:tcPr>
            <w:tcBorders>
              <w:bottom w:val="single"/>
            </w:tcBorders>
            <w:vAlign w:val="bottom"/>
          </w:tcPr>
          <w:p>
            <w:pPr>
              <w:pStyle w:val="Compact"/>
              <w:jc w:val="right"/>
            </w:pPr>
            <w:r>
              <w:t xml:space="preserve">Wetland cover (%)</w:t>
            </w:r>
          </w:p>
        </w:tc>
        <w:tc>
          <w:tcPr>
            <w:tcBorders>
              <w:bottom w:val="single"/>
            </w:tcBorders>
            <w:vAlign w:val="bottom"/>
          </w:tcPr>
          <w:p>
            <w:pPr>
              <w:pStyle w:val="Compact"/>
              <w:jc w:val="right"/>
            </w:pPr>
            <w:r>
              <w:t xml:space="preserve">Open water (%)</w:t>
            </w:r>
          </w:p>
        </w:tc>
        <w:tc>
          <w:tcPr>
            <w:tcBorders>
              <w:bottom w:val="single"/>
            </w:tcBorders>
            <w:vAlign w:val="bottom"/>
          </w:tcPr>
          <w:p>
            <w:pPr>
              <w:pStyle w:val="Compact"/>
              <w:jc w:val="left"/>
            </w:pPr>
            <w:r>
              <w:t xml:space="preserve">Dominant parent material (%)</w:t>
            </w:r>
          </w:p>
        </w:tc>
        <w:tc>
          <w:tcPr>
            <w:tcBorders>
              <w:bottom w:val="single"/>
            </w:tcBorders>
            <w:vAlign w:val="bottom"/>
          </w:tcPr>
          <w:p>
            <w:pPr>
              <w:pStyle w:val="Compact"/>
              <w:jc w:val="left"/>
            </w:pPr>
            <w:r>
              <w:t xml:space="preserve">Secondary parent material (%)</w:t>
            </w:r>
          </w:p>
        </w:tc>
      </w:tr>
      <w:tr>
        <w:tc>
          <w:p>
            <w:pPr>
              <w:pStyle w:val="Compact"/>
              <w:jc w:val="left"/>
            </w:pPr>
            <w:r>
              <w:t xml:space="preserve">Weeks crk</w:t>
            </w:r>
          </w:p>
        </w:tc>
        <w:tc>
          <w:p>
            <w:pPr>
              <w:pStyle w:val="Compact"/>
              <w:jc w:val="right"/>
            </w:pPr>
            <w:r>
              <w:t xml:space="preserve">48.57592</w:t>
            </w:r>
          </w:p>
        </w:tc>
        <w:tc>
          <w:p>
            <w:pPr>
              <w:pStyle w:val="Compact"/>
              <w:jc w:val="right"/>
            </w:pPr>
            <w:r>
              <w:t xml:space="preserve">-123.8440</w:t>
            </w:r>
          </w:p>
        </w:tc>
        <w:tc>
          <w:p>
            <w:pPr>
              <w:pStyle w:val="Compact"/>
              <w:jc w:val="right"/>
            </w:pPr>
            <w:r>
              <w:t xml:space="preserve">3</w:t>
            </w:r>
          </w:p>
        </w:tc>
        <w:tc>
          <w:p>
            <w:pPr>
              <w:pStyle w:val="Compact"/>
              <w:jc w:val="right"/>
            </w:pPr>
            <w:r>
              <w:t xml:space="preserve">11.52</w:t>
            </w:r>
          </w:p>
        </w:tc>
        <w:tc>
          <w:p>
            <w:pPr>
              <w:pStyle w:val="Compact"/>
              <w:jc w:val="right"/>
            </w:pPr>
            <w:r>
              <w:t xml:space="preserve">521</w:t>
            </w:r>
          </w:p>
        </w:tc>
        <w:tc>
          <w:p>
            <w:pPr>
              <w:pStyle w:val="Compact"/>
              <w:jc w:val="right"/>
            </w:pPr>
            <w:r>
              <w:t xml:space="preserve">8</w:t>
            </w:r>
          </w:p>
        </w:tc>
        <w:tc>
          <w:p>
            <w:pPr>
              <w:pStyle w:val="Compact"/>
              <w:jc w:val="right"/>
            </w:pPr>
            <w:r>
              <w:t xml:space="preserve">4</w:t>
            </w:r>
          </w:p>
        </w:tc>
        <w:tc>
          <w:p>
            <w:pPr>
              <w:pStyle w:val="Compact"/>
              <w:jc w:val="right"/>
            </w:pPr>
            <w:r>
              <w:t xml:space="preserve">2.90</w:t>
            </w:r>
          </w:p>
        </w:tc>
        <w:tc>
          <w:p>
            <w:pPr>
              <w:pStyle w:val="Compact"/>
              <w:jc w:val="left"/>
            </w:pPr>
            <w:r>
              <w:t xml:space="preserve">Argillite Metagreywacke (64.2%)</w:t>
            </w:r>
          </w:p>
        </w:tc>
        <w:tc>
          <w:p>
            <w:pPr>
              <w:pStyle w:val="Compact"/>
              <w:jc w:val="left"/>
            </w:pPr>
            <w:r>
              <w:t xml:space="preserve">Chert Argillite Volcanic (22.2%)</w:t>
            </w:r>
          </w:p>
        </w:tc>
      </w:tr>
      <w:tr>
        <w:tc>
          <w:p>
            <w:pPr>
              <w:pStyle w:val="Compact"/>
              <w:jc w:val="left"/>
            </w:pPr>
            <w:r>
              <w:t xml:space="preserve">Chris crk</w:t>
            </w:r>
          </w:p>
        </w:tc>
        <w:tc>
          <w:p>
            <w:pPr>
              <w:pStyle w:val="Compact"/>
              <w:jc w:val="right"/>
            </w:pPr>
            <w:r>
              <w:t xml:space="preserve">48.57691</w:t>
            </w:r>
          </w:p>
        </w:tc>
        <w:tc>
          <w:p>
            <w:pPr>
              <w:pStyle w:val="Compact"/>
              <w:jc w:val="right"/>
            </w:pPr>
            <w:r>
              <w:t xml:space="preserve">-123.8400</w:t>
            </w:r>
          </w:p>
        </w:tc>
        <w:tc>
          <w:p>
            <w:pPr>
              <w:pStyle w:val="Compact"/>
              <w:jc w:val="right"/>
            </w:pPr>
            <w:r>
              <w:t xml:space="preserve">3</w:t>
            </w:r>
          </w:p>
        </w:tc>
        <w:tc>
          <w:p>
            <w:pPr>
              <w:pStyle w:val="Compact"/>
              <w:jc w:val="right"/>
            </w:pPr>
            <w:r>
              <w:t xml:space="preserve">5.90</w:t>
            </w:r>
          </w:p>
        </w:tc>
        <w:tc>
          <w:p>
            <w:pPr>
              <w:pStyle w:val="Compact"/>
              <w:jc w:val="right"/>
            </w:pPr>
            <w:r>
              <w:t xml:space="preserve">522</w:t>
            </w:r>
          </w:p>
        </w:tc>
        <w:tc>
          <w:p>
            <w:pPr>
              <w:pStyle w:val="Compact"/>
              <w:jc w:val="right"/>
            </w:pPr>
            <w:r>
              <w:t xml:space="preserve">10</w:t>
            </w:r>
          </w:p>
        </w:tc>
        <w:tc>
          <w:p>
            <w:pPr>
              <w:pStyle w:val="Compact"/>
              <w:jc w:val="right"/>
            </w:pPr>
            <w:r>
              <w:t xml:space="preserve">1</w:t>
            </w:r>
          </w:p>
        </w:tc>
        <w:tc>
          <w:p>
            <w:pPr>
              <w:pStyle w:val="Compact"/>
              <w:jc w:val="right"/>
            </w:pPr>
            <w:r>
              <w:t xml:space="preserve">0.60</w:t>
            </w:r>
          </w:p>
        </w:tc>
        <w:tc>
          <w:p>
            <w:pPr>
              <w:pStyle w:val="Compact"/>
              <w:jc w:val="left"/>
            </w:pPr>
            <w:r>
              <w:t xml:space="preserve">Chert Argillite Volcanic (55.1%)</w:t>
            </w:r>
          </w:p>
        </w:tc>
        <w:tc>
          <w:p>
            <w:pPr>
              <w:pStyle w:val="Compact"/>
              <w:jc w:val="left"/>
            </w:pPr>
            <w:r>
              <w:t xml:space="preserve">Wark Gneiss (44.9%)</w:t>
            </w:r>
          </w:p>
        </w:tc>
      </w:tr>
      <w:tr>
        <w:tc>
          <w:p>
            <w:pPr>
              <w:pStyle w:val="Compact"/>
              <w:jc w:val="left"/>
            </w:pPr>
            <w:r>
              <w:t xml:space="preserve">Leech head</w:t>
            </w:r>
          </w:p>
        </w:tc>
        <w:tc>
          <w:p>
            <w:pPr>
              <w:pStyle w:val="Compact"/>
              <w:jc w:val="right"/>
            </w:pPr>
            <w:r>
              <w:t xml:space="preserve">48.56660</w:t>
            </w:r>
          </w:p>
        </w:tc>
        <w:tc>
          <w:p>
            <w:pPr>
              <w:pStyle w:val="Compact"/>
              <w:jc w:val="right"/>
            </w:pPr>
            <w:r>
              <w:t xml:space="preserve">-123.8257</w:t>
            </w:r>
          </w:p>
        </w:tc>
        <w:tc>
          <w:p>
            <w:pPr>
              <w:pStyle w:val="Compact"/>
              <w:jc w:val="right"/>
            </w:pPr>
            <w:r>
              <w:t xml:space="preserve">4</w:t>
            </w:r>
          </w:p>
        </w:tc>
        <w:tc>
          <w:p>
            <w:pPr>
              <w:pStyle w:val="Compact"/>
              <w:jc w:val="right"/>
            </w:pPr>
            <w:r>
              <w:t xml:space="preserve">20.59</w:t>
            </w:r>
          </w:p>
        </w:tc>
        <w:tc>
          <w:p>
            <w:pPr>
              <w:pStyle w:val="Compact"/>
              <w:jc w:val="right"/>
            </w:pPr>
            <w:r>
              <w:t xml:space="preserve">476</w:t>
            </w:r>
          </w:p>
        </w:tc>
        <w:tc>
          <w:p>
            <w:pPr>
              <w:pStyle w:val="Compact"/>
              <w:jc w:val="right"/>
            </w:pPr>
            <w:r>
              <w:t xml:space="preserve">9</w:t>
            </w:r>
          </w:p>
        </w:tc>
        <w:tc>
          <w:p>
            <w:pPr>
              <w:pStyle w:val="Compact"/>
              <w:jc w:val="right"/>
            </w:pPr>
            <w:r>
              <w:t xml:space="preserve">3</w:t>
            </w:r>
          </w:p>
        </w:tc>
        <w:tc>
          <w:p>
            <w:pPr>
              <w:pStyle w:val="Compact"/>
              <w:jc w:val="right"/>
            </w:pPr>
            <w:r>
              <w:t xml:space="preserve">1.80</w:t>
            </w:r>
          </w:p>
        </w:tc>
        <w:tc>
          <w:p>
            <w:pPr>
              <w:pStyle w:val="Compact"/>
              <w:jc w:val="left"/>
            </w:pPr>
            <w:r>
              <w:t xml:space="preserve">Argillite Metagreywacke (42.1)</w:t>
            </w:r>
          </w:p>
        </w:tc>
        <w:tc>
          <w:p>
            <w:pPr>
              <w:pStyle w:val="Compact"/>
              <w:jc w:val="left"/>
            </w:pPr>
            <w:r>
              <w:t xml:space="preserve">Chert Argillite Volcanic (37.4%)</w:t>
            </w:r>
          </w:p>
        </w:tc>
      </w:tr>
      <w:tr>
        <w:tc>
          <w:p>
            <w:pPr>
              <w:pStyle w:val="Compact"/>
              <w:jc w:val="left"/>
            </w:pPr>
            <w:r>
              <w:t xml:space="preserve">Cragg crk</w:t>
            </w:r>
          </w:p>
        </w:tc>
        <w:tc>
          <w:p>
            <w:pPr>
              <w:pStyle w:val="Compact"/>
              <w:jc w:val="right"/>
            </w:pPr>
            <w:r>
              <w:t xml:space="preserve">48.54856</w:t>
            </w:r>
          </w:p>
        </w:tc>
        <w:tc>
          <w:p>
            <w:pPr>
              <w:pStyle w:val="Compact"/>
              <w:jc w:val="right"/>
            </w:pPr>
            <w:r>
              <w:t xml:space="preserve">-123.7714</w:t>
            </w:r>
          </w:p>
        </w:tc>
        <w:tc>
          <w:p>
            <w:pPr>
              <w:pStyle w:val="Compact"/>
              <w:jc w:val="right"/>
            </w:pPr>
            <w:r>
              <w:t xml:space="preserve">4</w:t>
            </w:r>
          </w:p>
        </w:tc>
        <w:tc>
          <w:p>
            <w:pPr>
              <w:pStyle w:val="Compact"/>
              <w:jc w:val="right"/>
            </w:pPr>
            <w:r>
              <w:t xml:space="preserve">28.06</w:t>
            </w:r>
          </w:p>
        </w:tc>
        <w:tc>
          <w:p>
            <w:pPr>
              <w:pStyle w:val="Compact"/>
              <w:jc w:val="right"/>
            </w:pPr>
            <w:r>
              <w:t xml:space="preserve">509</w:t>
            </w:r>
          </w:p>
        </w:tc>
        <w:tc>
          <w:p>
            <w:pPr>
              <w:pStyle w:val="Compact"/>
              <w:jc w:val="right"/>
            </w:pPr>
            <w:r>
              <w:t xml:space="preserve">9</w:t>
            </w:r>
          </w:p>
        </w:tc>
        <w:tc>
          <w:p>
            <w:pPr>
              <w:pStyle w:val="Compact"/>
              <w:jc w:val="right"/>
            </w:pPr>
            <w:r>
              <w:t xml:space="preserve">2</w:t>
            </w:r>
          </w:p>
        </w:tc>
        <w:tc>
          <w:p>
            <w:pPr>
              <w:pStyle w:val="Compact"/>
              <w:jc w:val="right"/>
            </w:pPr>
            <w:r>
              <w:t xml:space="preserve">0.90</w:t>
            </w:r>
          </w:p>
        </w:tc>
        <w:tc>
          <w:p>
            <w:pPr>
              <w:pStyle w:val="Compact"/>
              <w:jc w:val="left"/>
            </w:pPr>
            <w:r>
              <w:t xml:space="preserve">Wark Gneiss (77.6%)</w:t>
            </w:r>
          </w:p>
        </w:tc>
        <w:tc>
          <w:p>
            <w:pPr>
              <w:pStyle w:val="Compact"/>
              <w:jc w:val="left"/>
            </w:pPr>
            <w:r>
              <w:t xml:space="preserve">Chert Argillite Volcanic (22.4%)</w:t>
            </w:r>
          </w:p>
        </w:tc>
      </w:tr>
      <w:tr>
        <w:tc>
          <w:p>
            <w:pPr>
              <w:pStyle w:val="Compact"/>
              <w:jc w:val="left"/>
            </w:pPr>
            <w:r>
              <w:t xml:space="preserve">West Leech</w:t>
            </w:r>
          </w:p>
        </w:tc>
        <w:tc>
          <w:p>
            <w:pPr>
              <w:pStyle w:val="Compact"/>
              <w:jc w:val="right"/>
            </w:pPr>
            <w:r>
              <w:t xml:space="preserve">48.50635</w:t>
            </w:r>
          </w:p>
        </w:tc>
        <w:tc>
          <w:p>
            <w:pPr>
              <w:pStyle w:val="Compact"/>
              <w:jc w:val="right"/>
            </w:pPr>
            <w:r>
              <w:t xml:space="preserve">-123.7862</w:t>
            </w:r>
          </w:p>
        </w:tc>
        <w:tc>
          <w:p>
            <w:pPr>
              <w:pStyle w:val="Compact"/>
              <w:jc w:val="right"/>
            </w:pPr>
            <w:r>
              <w:t xml:space="preserve">4</w:t>
            </w:r>
          </w:p>
        </w:tc>
        <w:tc>
          <w:p>
            <w:pPr>
              <w:pStyle w:val="Compact"/>
              <w:jc w:val="right"/>
            </w:pPr>
            <w:r>
              <w:t xml:space="preserve">20.85</w:t>
            </w:r>
          </w:p>
        </w:tc>
        <w:tc>
          <w:p>
            <w:pPr>
              <w:pStyle w:val="Compact"/>
              <w:jc w:val="right"/>
            </w:pPr>
            <w:r>
              <w:t xml:space="preserve">248</w:t>
            </w:r>
          </w:p>
        </w:tc>
        <w:tc>
          <w:p>
            <w:pPr>
              <w:pStyle w:val="Compact"/>
              <w:jc w:val="right"/>
            </w:pPr>
            <w:r>
              <w:t xml:space="preserve">9</w:t>
            </w:r>
          </w:p>
        </w:tc>
        <w:tc>
          <w:p>
            <w:pPr>
              <w:pStyle w:val="Compact"/>
              <w:jc w:val="right"/>
            </w:pPr>
            <w:r>
              <w:t xml:space="preserve">0</w:t>
            </w:r>
          </w:p>
        </w:tc>
        <w:tc>
          <w:p>
            <w:pPr>
              <w:pStyle w:val="Compact"/>
              <w:jc w:val="right"/>
            </w:pPr>
            <w:r>
              <w:t xml:space="preserve">0.30</w:t>
            </w:r>
          </w:p>
        </w:tc>
        <w:tc>
          <w:p>
            <w:pPr>
              <w:pStyle w:val="Compact"/>
              <w:jc w:val="left"/>
            </w:pPr>
            <w:r>
              <w:t xml:space="preserve">Argillite Metagreywacke (76.8%)</w:t>
            </w:r>
          </w:p>
        </w:tc>
        <w:tc>
          <w:p>
            <w:pPr>
              <w:pStyle w:val="Compact"/>
              <w:jc w:val="left"/>
            </w:pPr>
            <w:r>
              <w:t xml:space="preserve">Metchosin Volcanics (16%)</w:t>
            </w:r>
          </w:p>
        </w:tc>
      </w:tr>
      <w:tr>
        <w:tc>
          <w:p>
            <w:pPr>
              <w:pStyle w:val="Compact"/>
              <w:jc w:val="left"/>
            </w:pPr>
            <w:r>
              <w:t xml:space="preserve">Leech Tunnel</w:t>
            </w:r>
          </w:p>
        </w:tc>
        <w:tc>
          <w:p>
            <w:pPr>
              <w:pStyle w:val="Compact"/>
              <w:jc w:val="right"/>
            </w:pPr>
            <w:r>
              <w:t xml:space="preserve">48.50690</w:t>
            </w:r>
          </w:p>
        </w:tc>
        <w:tc>
          <w:p>
            <w:pPr>
              <w:pStyle w:val="Compact"/>
              <w:jc w:val="right"/>
            </w:pPr>
            <w:r>
              <w:t xml:space="preserve">-123.7680</w:t>
            </w:r>
          </w:p>
        </w:tc>
        <w:tc>
          <w:p>
            <w:pPr>
              <w:pStyle w:val="Compact"/>
              <w:jc w:val="right"/>
            </w:pPr>
            <w:r>
              <w:t xml:space="preserve">5</w:t>
            </w:r>
          </w:p>
        </w:tc>
        <w:tc>
          <w:p>
            <w:pPr>
              <w:pStyle w:val="Compact"/>
              <w:jc w:val="right"/>
            </w:pPr>
            <w:r>
              <w:t xml:space="preserve">95.30</w:t>
            </w:r>
          </w:p>
        </w:tc>
        <w:tc>
          <w:p>
            <w:pPr>
              <w:pStyle w:val="Compact"/>
              <w:jc w:val="right"/>
            </w:pPr>
            <w:r>
              <w:t xml:space="preserve">207</w:t>
            </w:r>
          </w:p>
        </w:tc>
        <w:tc>
          <w:p>
            <w:pPr>
              <w:pStyle w:val="Compact"/>
              <w:jc w:val="right"/>
            </w:pPr>
            <w:r>
              <w:t xml:space="preserve">10</w:t>
            </w:r>
          </w:p>
        </w:tc>
        <w:tc>
          <w:p>
            <w:pPr>
              <w:pStyle w:val="Compact"/>
              <w:jc w:val="right"/>
            </w:pPr>
            <w:r>
              <w:t xml:space="preserve">1</w:t>
            </w:r>
          </w:p>
        </w:tc>
        <w:tc>
          <w:p>
            <w:pPr>
              <w:pStyle w:val="Compact"/>
              <w:jc w:val="right"/>
            </w:pPr>
            <w:r>
              <w:t xml:space="preserve">0.70</w:t>
            </w:r>
          </w:p>
        </w:tc>
        <w:tc>
          <w:p>
            <w:pPr>
              <w:pStyle w:val="Compact"/>
              <w:jc w:val="left"/>
            </w:pPr>
            <w:r>
              <w:t xml:space="preserve">Argillite Metagreywacke (45.1%)</w:t>
            </w:r>
          </w:p>
        </w:tc>
        <w:tc>
          <w:p>
            <w:pPr>
              <w:pStyle w:val="Compact"/>
              <w:jc w:val="left"/>
            </w:pPr>
            <w:r>
              <w:t xml:space="preserve">Wark Gneiss (30.6%)</w:t>
            </w:r>
          </w:p>
        </w:tc>
      </w:tr>
      <w:tr>
        <w:tc>
          <w:p>
            <w:pPr>
              <w:pStyle w:val="Compact"/>
              <w:jc w:val="left"/>
            </w:pPr>
            <w:r>
              <w:t xml:space="preserve">Judge crk</w:t>
            </w:r>
          </w:p>
        </w:tc>
        <w:tc>
          <w:p>
            <w:pPr>
              <w:pStyle w:val="Compact"/>
              <w:jc w:val="right"/>
            </w:pPr>
            <w:r>
              <w:t xml:space="preserve">48.58569</w:t>
            </w:r>
          </w:p>
        </w:tc>
        <w:tc>
          <w:p>
            <w:pPr>
              <w:pStyle w:val="Compact"/>
              <w:jc w:val="right"/>
            </w:pPr>
            <w:r>
              <w:t xml:space="preserve">-123.6735</w:t>
            </w:r>
          </w:p>
        </w:tc>
        <w:tc>
          <w:p>
            <w:pPr>
              <w:pStyle w:val="Compact"/>
              <w:jc w:val="right"/>
            </w:pPr>
            <w:r>
              <w:t xml:space="preserve">3</w:t>
            </w:r>
          </w:p>
        </w:tc>
        <w:tc>
          <w:p>
            <w:pPr>
              <w:pStyle w:val="Compact"/>
              <w:jc w:val="right"/>
            </w:pPr>
            <w:r>
              <w:t xml:space="preserve">8.33</w:t>
            </w:r>
          </w:p>
        </w:tc>
        <w:tc>
          <w:p>
            <w:pPr>
              <w:pStyle w:val="Compact"/>
              <w:jc w:val="right"/>
            </w:pPr>
            <w:r>
              <w:t xml:space="preserve">200</w:t>
            </w:r>
          </w:p>
        </w:tc>
        <w:tc>
          <w:p>
            <w:pPr>
              <w:pStyle w:val="Compact"/>
              <w:jc w:val="right"/>
            </w:pPr>
            <w:r>
              <w:t xml:space="preserve">9</w:t>
            </w:r>
          </w:p>
        </w:tc>
        <w:tc>
          <w:p>
            <w:pPr>
              <w:pStyle w:val="Compact"/>
              <w:jc w:val="right"/>
            </w:pPr>
            <w:r>
              <w:t xml:space="preserve">1</w:t>
            </w:r>
          </w:p>
        </w:tc>
        <w:tc>
          <w:p>
            <w:pPr>
              <w:pStyle w:val="Compact"/>
              <w:jc w:val="right"/>
            </w:pPr>
            <w:r>
              <w:t xml:space="preserve">0.00</w:t>
            </w:r>
          </w:p>
        </w:tc>
        <w:tc>
          <w:p>
            <w:pPr>
              <w:pStyle w:val="Compact"/>
              <w:jc w:val="left"/>
            </w:pPr>
            <w:r>
              <w:t xml:space="preserve">Colquitz Gneiss (72.4)</w:t>
            </w:r>
          </w:p>
        </w:tc>
        <w:tc>
          <w:p>
            <w:pPr>
              <w:pStyle w:val="Compact"/>
              <w:jc w:val="left"/>
            </w:pPr>
            <w:r>
              <w:t xml:space="preserve">Wark Gneiss (27%)</w:t>
            </w:r>
          </w:p>
        </w:tc>
      </w:tr>
      <w:tr>
        <w:tc>
          <w:p>
            <w:pPr>
              <w:pStyle w:val="Compact"/>
              <w:jc w:val="left"/>
            </w:pPr>
            <w:r>
              <w:t xml:space="preserve">Rithet crk</w:t>
            </w:r>
          </w:p>
        </w:tc>
        <w:tc>
          <w:p>
            <w:pPr>
              <w:pStyle w:val="Compact"/>
              <w:jc w:val="right"/>
            </w:pPr>
            <w:r>
              <w:t xml:space="preserve">48.59123</w:t>
            </w:r>
          </w:p>
        </w:tc>
        <w:tc>
          <w:p>
            <w:pPr>
              <w:pStyle w:val="Compact"/>
              <w:jc w:val="right"/>
            </w:pPr>
            <w:r>
              <w:t xml:space="preserve">-123.7250</w:t>
            </w:r>
          </w:p>
        </w:tc>
        <w:tc>
          <w:p>
            <w:pPr>
              <w:pStyle w:val="Compact"/>
              <w:jc w:val="right"/>
            </w:pPr>
            <w:r>
              <w:t xml:space="preserve">4</w:t>
            </w:r>
          </w:p>
        </w:tc>
        <w:tc>
          <w:p>
            <w:pPr>
              <w:pStyle w:val="Compact"/>
              <w:jc w:val="right"/>
            </w:pPr>
            <w:r>
              <w:t xml:space="preserve">11.12</w:t>
            </w:r>
          </w:p>
        </w:tc>
        <w:tc>
          <w:p>
            <w:pPr>
              <w:pStyle w:val="Compact"/>
              <w:jc w:val="right"/>
            </w:pPr>
            <w:r>
              <w:t xml:space="preserve">252</w:t>
            </w:r>
          </w:p>
        </w:tc>
        <w:tc>
          <w:p>
            <w:pPr>
              <w:pStyle w:val="Compact"/>
              <w:jc w:val="right"/>
            </w:pPr>
            <w:r>
              <w:t xml:space="preserve">11</w:t>
            </w:r>
          </w:p>
        </w:tc>
        <w:tc>
          <w:p>
            <w:pPr>
              <w:pStyle w:val="Compact"/>
              <w:jc w:val="right"/>
            </w:pPr>
            <w:r>
              <w:t xml:space="preserve">1</w:t>
            </w:r>
          </w:p>
        </w:tc>
        <w:tc>
          <w:p>
            <w:pPr>
              <w:pStyle w:val="Compact"/>
              <w:jc w:val="right"/>
            </w:pPr>
            <w:r>
              <w:t xml:space="preserve">0.00</w:t>
            </w:r>
          </w:p>
        </w:tc>
        <w:tc>
          <w:p>
            <w:pPr>
              <w:pStyle w:val="Compact"/>
              <w:jc w:val="left"/>
            </w:pPr>
            <w:r>
              <w:t xml:space="preserve">Wark Gneiss (79.2%)</w:t>
            </w:r>
          </w:p>
        </w:tc>
        <w:tc>
          <w:p>
            <w:pPr>
              <w:pStyle w:val="Compact"/>
              <w:jc w:val="left"/>
            </w:pPr>
            <w:r>
              <w:t xml:space="preserve">Colquitz Gneiss (20.3%)</w:t>
            </w:r>
          </w:p>
        </w:tc>
      </w:tr>
      <w:tr>
        <w:tc>
          <w:p>
            <w:pPr>
              <w:pStyle w:val="Compact"/>
              <w:jc w:val="left"/>
            </w:pPr>
            <w:r>
              <w:t xml:space="preserve">Deception (gulch)</w:t>
            </w:r>
          </w:p>
        </w:tc>
        <w:tc>
          <w:p>
            <w:pPr>
              <w:pStyle w:val="Compact"/>
              <w:jc w:val="right"/>
            </w:pPr>
            <w:r>
              <w:t xml:space="preserve">48.51694</w:t>
            </w:r>
          </w:p>
        </w:tc>
        <w:tc>
          <w:p>
            <w:pPr>
              <w:pStyle w:val="Compact"/>
              <w:jc w:val="right"/>
            </w:pPr>
            <w:r>
              <w:t xml:space="preserve">-123.7204</w:t>
            </w:r>
          </w:p>
        </w:tc>
        <w:tc>
          <w:p>
            <w:pPr>
              <w:pStyle w:val="Compact"/>
              <w:jc w:val="right"/>
            </w:pPr>
            <w:r>
              <w:t xml:space="preserve">3</w:t>
            </w:r>
          </w:p>
        </w:tc>
        <w:tc>
          <w:p>
            <w:pPr>
              <w:pStyle w:val="Compact"/>
              <w:jc w:val="right"/>
            </w:pPr>
            <w:r>
              <w:t xml:space="preserve">4.02</w:t>
            </w:r>
          </w:p>
        </w:tc>
        <w:tc>
          <w:p>
            <w:pPr>
              <w:pStyle w:val="Compact"/>
              <w:jc w:val="right"/>
            </w:pPr>
            <w:r>
              <w:t xml:space="preserve">195</w:t>
            </w:r>
          </w:p>
        </w:tc>
        <w:tc>
          <w:p>
            <w:pPr>
              <w:pStyle w:val="Compact"/>
              <w:jc w:val="right"/>
            </w:pPr>
            <w:r>
              <w:t xml:space="preserve">13</w:t>
            </w:r>
          </w:p>
        </w:tc>
        <w:tc>
          <w:p>
            <w:pPr>
              <w:pStyle w:val="Compact"/>
              <w:jc w:val="right"/>
            </w:pPr>
            <w:r>
              <w:t xml:space="preserve">9</w:t>
            </w:r>
          </w:p>
        </w:tc>
        <w:tc>
          <w:p>
            <w:pPr>
              <w:pStyle w:val="Compact"/>
              <w:jc w:val="right"/>
            </w:pPr>
            <w:r>
              <w:t xml:space="preserve">0.00</w:t>
            </w:r>
          </w:p>
        </w:tc>
        <w:tc>
          <w:p>
            <w:pPr>
              <w:pStyle w:val="Compact"/>
              <w:jc w:val="left"/>
            </w:pPr>
            <w:r>
              <w:t xml:space="preserve">Wark Gneiss (61.2%)</w:t>
            </w:r>
          </w:p>
        </w:tc>
        <w:tc>
          <w:p>
            <w:pPr>
              <w:pStyle w:val="Compact"/>
              <w:jc w:val="left"/>
            </w:pPr>
            <w:r>
              <w:t xml:space="preserve">Argillite Metagreywacke (38.8%)</w:t>
            </w:r>
          </w:p>
        </w:tc>
      </w:tr>
      <w:tr>
        <w:tc>
          <w:p>
            <w:pPr>
              <w:pStyle w:val="Compact"/>
              <w:jc w:val="left"/>
            </w:pPr>
            <w:r>
              <w:t xml:space="preserve">Jarvis crk</w:t>
            </w:r>
          </w:p>
        </w:tc>
        <w:tc>
          <w:p>
            <w:pPr>
              <w:pStyle w:val="Compact"/>
              <w:jc w:val="right"/>
            </w:pPr>
            <w:r>
              <w:t xml:space="preserve">48.59677</w:t>
            </w:r>
          </w:p>
        </w:tc>
        <w:tc>
          <w:p>
            <w:pPr>
              <w:pStyle w:val="Compact"/>
              <w:jc w:val="right"/>
            </w:pPr>
            <w:r>
              <w:t xml:space="preserve">-123.7981</w:t>
            </w:r>
          </w:p>
        </w:tc>
        <w:tc>
          <w:p>
            <w:pPr>
              <w:pStyle w:val="Compact"/>
              <w:jc w:val="right"/>
            </w:pPr>
            <w:r>
              <w:t xml:space="preserve">2</w:t>
            </w:r>
          </w:p>
        </w:tc>
        <w:tc>
          <w:p>
            <w:pPr>
              <w:pStyle w:val="Compact"/>
              <w:jc w:val="right"/>
            </w:pPr>
            <w:r>
              <w:t xml:space="preserve">1.51</w:t>
            </w:r>
          </w:p>
        </w:tc>
        <w:tc>
          <w:p>
            <w:pPr>
              <w:pStyle w:val="Compact"/>
              <w:jc w:val="right"/>
            </w:pPr>
            <w:r>
              <w:t xml:space="preserve">742</w:t>
            </w:r>
          </w:p>
        </w:tc>
        <w:tc>
          <w:p>
            <w:pPr>
              <w:pStyle w:val="Compact"/>
              <w:jc w:val="right"/>
            </w:pPr>
            <w:r>
              <w:t xml:space="preserve">5</w:t>
            </w:r>
          </w:p>
        </w:tc>
        <w:tc>
          <w:p>
            <w:pPr>
              <w:pStyle w:val="Compact"/>
              <w:jc w:val="right"/>
            </w:pPr>
            <w:r>
              <w:t xml:space="preserve">4</w:t>
            </w:r>
          </w:p>
        </w:tc>
        <w:tc>
          <w:p>
            <w:pPr>
              <w:pStyle w:val="Compact"/>
              <w:jc w:val="right"/>
            </w:pPr>
            <w:r>
              <w:t xml:space="preserve">0.00</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Lazar crk</w:t>
            </w:r>
          </w:p>
        </w:tc>
        <w:tc>
          <w:p>
            <w:pPr>
              <w:pStyle w:val="Compact"/>
              <w:jc w:val="right"/>
            </w:pPr>
            <w:r>
              <w:t xml:space="preserve">48.59179</w:t>
            </w:r>
          </w:p>
        </w:tc>
        <w:tc>
          <w:p>
            <w:pPr>
              <w:pStyle w:val="Compact"/>
              <w:jc w:val="right"/>
            </w:pPr>
            <w:r>
              <w:t xml:space="preserve">-123.7700</w:t>
            </w:r>
          </w:p>
        </w:tc>
        <w:tc>
          <w:p>
            <w:pPr>
              <w:pStyle w:val="Compact"/>
              <w:jc w:val="right"/>
            </w:pPr>
            <w:r>
              <w:t xml:space="preserve">3</w:t>
            </w:r>
          </w:p>
        </w:tc>
        <w:tc>
          <w:p>
            <w:pPr>
              <w:pStyle w:val="Compact"/>
              <w:jc w:val="right"/>
            </w:pPr>
            <w:r>
              <w:t xml:space="preserve">4.74</w:t>
            </w:r>
          </w:p>
        </w:tc>
        <w:tc>
          <w:p>
            <w:pPr>
              <w:pStyle w:val="Compact"/>
              <w:jc w:val="right"/>
            </w:pPr>
            <w:r>
              <w:t xml:space="preserve">651</w:t>
            </w:r>
          </w:p>
        </w:tc>
        <w:tc>
          <w:p>
            <w:pPr>
              <w:pStyle w:val="Compact"/>
              <w:jc w:val="right"/>
            </w:pPr>
            <w:r>
              <w:t xml:space="preserve">6</w:t>
            </w:r>
          </w:p>
        </w:tc>
        <w:tc>
          <w:p>
            <w:pPr>
              <w:pStyle w:val="Compact"/>
              <w:jc w:val="right"/>
            </w:pPr>
            <w:r>
              <w:t xml:space="preserve">12</w:t>
            </w:r>
          </w:p>
        </w:tc>
        <w:tc>
          <w:p>
            <w:pPr>
              <w:pStyle w:val="Compact"/>
              <w:jc w:val="right"/>
            </w:pPr>
            <w:r>
              <w:t xml:space="preserve">0.07</w:t>
            </w:r>
          </w:p>
        </w:tc>
        <w:tc>
          <w:p>
            <w:pPr>
              <w:pStyle w:val="Compact"/>
              <w:jc w:val="left"/>
            </w:pPr>
            <w:r>
              <w:t xml:space="preserve">Wark Gneiss (100%)</w:t>
            </w:r>
          </w:p>
        </w:tc>
        <w:tc>
          <w:p>
            <w:pPr>
              <w:pStyle w:val="Compact"/>
              <w:jc w:val="left"/>
            </w:pPr>
            <w:r>
              <w:t xml:space="preserve">NA</w:t>
            </w:r>
          </w:p>
        </w:tc>
      </w:tr>
      <w:tr>
        <w:tc>
          <w:p>
            <w:pPr>
              <w:pStyle w:val="Compact"/>
              <w:jc w:val="left"/>
            </w:pPr>
            <w:r>
              <w:t xml:space="preserve">Leech beach</w:t>
            </w:r>
          </w:p>
        </w:tc>
        <w:tc>
          <w:p>
            <w:pPr>
              <w:pStyle w:val="Compact"/>
              <w:jc w:val="right"/>
            </w:pPr>
            <w:r>
              <w:t xml:space="preserve">48.50678</w:t>
            </w:r>
          </w:p>
        </w:tc>
        <w:tc>
          <w:p>
            <w:pPr>
              <w:pStyle w:val="Compact"/>
              <w:jc w:val="right"/>
            </w:pPr>
            <w:r>
              <w:t xml:space="preserve">-123.7818</w:t>
            </w:r>
          </w:p>
        </w:tc>
        <w:tc>
          <w:p>
            <w:pPr>
              <w:pStyle w:val="Compact"/>
              <w:jc w:val="right"/>
            </w:pPr>
            <w:r>
              <w:t xml:space="preserve">5</w:t>
            </w:r>
          </w:p>
        </w:tc>
        <w:tc>
          <w:p>
            <w:pPr>
              <w:pStyle w:val="Compact"/>
              <w:jc w:val="right"/>
            </w:pPr>
            <w:r>
              <w:t xml:space="preserve">94.09</w:t>
            </w:r>
          </w:p>
        </w:tc>
        <w:tc>
          <w:p>
            <w:pPr>
              <w:pStyle w:val="Compact"/>
              <w:jc w:val="right"/>
            </w:pPr>
            <w:r>
              <w:t xml:space="preserve">237</w:t>
            </w:r>
          </w:p>
        </w:tc>
        <w:tc>
          <w:p>
            <w:pPr>
              <w:pStyle w:val="Compact"/>
              <w:jc w:val="right"/>
            </w:pPr>
            <w:r>
              <w:t xml:space="preserve">10</w:t>
            </w:r>
          </w:p>
        </w:tc>
        <w:tc>
          <w:p>
            <w:pPr>
              <w:pStyle w:val="Compact"/>
              <w:jc w:val="right"/>
            </w:pPr>
            <w:r>
              <w:t xml:space="preserve">1</w:t>
            </w:r>
          </w:p>
        </w:tc>
        <w:tc>
          <w:p>
            <w:pPr>
              <w:pStyle w:val="Compact"/>
              <w:jc w:val="right"/>
            </w:pPr>
            <w:r>
              <w:t xml:space="preserve">0.02</w:t>
            </w:r>
          </w:p>
        </w:tc>
        <w:tc>
          <w:p>
            <w:pPr>
              <w:pStyle w:val="Compact"/>
              <w:jc w:val="left"/>
            </w:pPr>
            <w:r>
              <w:t xml:space="preserve">Argillite Metagreywacke (45.1%)</w:t>
            </w:r>
          </w:p>
        </w:tc>
        <w:tc>
          <w:p>
            <w:pPr>
              <w:pStyle w:val="Compact"/>
              <w:jc w:val="left"/>
            </w:pPr>
            <w:r>
              <w:t xml:space="preserve">Wark Gneiss (31%)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5-10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spectrophotometer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synoptic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pPr>
        <w:pStyle w:val="BodyText"/>
      </w:pPr>
      <w:r>
        <w:t xml:space="preserve"> </w:t>
      </w:r>
    </w:p>
    <w:p>
      <w:pPr>
        <w:pStyle w:val="BodyText"/>
      </w:pPr>
      <w:r>
        <w:t xml:space="preserve">Monitoring included continuous river stage, air and water temperatures, and collection of whole 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w:t>
      </w:r>
    </w:p>
    <w:p>
      <w:pPr>
        <w:pStyle w:val="BodyText"/>
      </w:pPr>
      <w:r>
        <w:t xml:space="preserve"> </w:t>
      </w:r>
    </w:p>
    <w:p>
      <w:pPr>
        <w:pStyle w:val="BodyText"/>
      </w:pPr>
      <w:r>
        <w:t xml:space="preserve">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 Air and water temperatures were also measured at each site (30 minute intervals, using HOBO TidbiT V2 Temperature Data Loggers, Onset, USA). Reconyx trail cameras were also installed at monitoring site locations; images were taken every 15 minutes to confirm if streamflow was well mixed and to monitor installations.</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HDPE wide-mouth bottles to include an inlet and exhaust tube. Two 1/4" (O.D.) stainless steel tubes (14 cm and 22 cm length), each with a 180° 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(distance between the bend at top of intake tube to inlet orifice). A filled siphon bottle had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 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pPr>
        <w:pStyle w:val="BodyText"/>
      </w:pPr>
      <w:r>
        <w:t xml:space="preserve"> </w:t>
      </w:r>
    </w:p>
    <w:p>
      <w:pPr>
        <w:pStyle w:val="BodyText"/>
      </w:pPr>
      <w:r>
        <w:t xml:space="preserve">The representativeness of Vertical Rack samples rely on two key assumptions: (1) well mixed water column (no stratification); and (2) each sample was discrete, such that there was no infiltration or mixing between surrounding water and the sample in the bottle once it was filled. Trail camera images and a circulating dye test were used to assess the assumptions of well-mixed water and discrete sample collection (respectively).</w:t>
      </w:r>
    </w:p>
    <w:p>
      <w:pPr>
        <w:pStyle w:val="BodyText"/>
      </w:pPr>
      <w:r>
        <w:t xml:space="preserve"> </w:t>
      </w:r>
    </w:p>
    <w:p>
      <w:pPr>
        <w:pStyle w:val="Heading5"/>
      </w:pPr>
      <w:bookmarkStart w:id="44" w:name="X7814fd64b4cd4c903de13f3f7258b0ad6e1c862"/>
      <w:r>
        <w:t xml:space="preserve">Vertical Rack sample hold-time experiments</w:t>
      </w:r>
      <w:bookmarkEnd w:id="44"/>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 Air temperature data collected at each Vertical Rack were used as part of the hold-time assessment for sample stability.</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Heading3"/>
      </w:pPr>
      <w:bookmarkStart w:id="45" w:name="laboratory-analyses-of-water-samples"/>
      <w:r>
        <w:t xml:space="preserve">Laboratory analyses of water samples</w:t>
      </w:r>
      <w:bookmarkEnd w:id="45"/>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6" w:name="quantifying-doc-dissolved-organic-carbon"/>
      <w:r>
        <w:t xml:space="preserve">Quantifying DOC (dissolved organic carbon)</w:t>
      </w:r>
      <w:bookmarkEnd w:id="46"/>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7" w:name="sample-preparation"/>
      <w:r>
        <w:t xml:space="preserve">Sample preparation</w:t>
      </w:r>
      <w:bookmarkEnd w:id="47"/>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8" w:name="instrumental-analysis-methods"/>
      <w:r>
        <w:t xml:space="preserve">Instrumental analysis methods</w:t>
      </w:r>
      <w:bookmarkEnd w:id="48"/>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49" w:name="Xa19b3801762e0a6c0f55232717f8102b4711780"/>
      <w:r>
        <w:t xml:space="preserve">Characterizing NOM (natural organic matter)</w:t>
      </w:r>
      <w:bookmarkEnd w:id="49"/>
    </w:p>
    <w:p>
      <w:pPr>
        <w:pStyle w:val="FirstParagraph"/>
      </w:pPr>
      <w:r>
        <w:t xml:space="preserve">To assess the molecular character of NOM, samples were analyzed by UV-Vis spectroscopy (ultraviolet-visible light) using a spectro::lyser (s::can, Vienna, Austria) in a laboratory setting. The spectro::lyser is a self-contained spectrophotometer and data-logger (with external power source) that measures turbidity and UV-Vis absorbance (i.e. light attenuation) across the wavelength range of 200 nm to 750 nm (recorded at 2.5 nm intervals).</w:t>
      </w:r>
    </w:p>
    <w:p>
      <w:pPr>
        <w:pStyle w:val="BodyText"/>
      </w:pPr>
      <w:r>
        <w:t xml:space="preserve"> </w:t>
      </w:r>
    </w:p>
    <w:p>
      <w:pPr>
        <w:pStyle w:val="Heading5"/>
      </w:pPr>
      <w:bookmarkStart w:id="50" w:name="sample-analysis"/>
      <w:r>
        <w:t xml:space="preserve">Sample analysis</w:t>
      </w:r>
      <w:bookmarkEnd w:id="50"/>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1" w:name="instrument-and-data-handling"/>
      <w:r>
        <w:t xml:space="preserve">Instrument and data handling</w:t>
      </w:r>
      <w:bookmarkEnd w:id="51"/>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2" w:name="spectral-indices-of-nom-character"/>
      <w:r>
        <w:t xml:space="preserve">Spectral indices of NOM character</w:t>
      </w:r>
      <w:bookmarkEnd w:id="52"/>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 Appendix C1)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4"/>
      </w:pPr>
      <w:bookmarkStart w:id="53" w:name="Xfaf8e16375c2a9e39fc14f07b646027fe985168"/>
      <w:r>
        <w:t xml:space="preserve">Collaborative analyses for treatability and metals</w:t>
      </w:r>
      <w:bookmarkEnd w:id="53"/>
    </w:p>
    <w:p>
      <w:pPr>
        <w:pStyle w:val="FirstParagraph"/>
      </w:pPr>
      <w:r>
        <w:t xml:space="preserve">Synoptic grab samples were collected for treatability analyses with partners in the forWater Network and for metals analyses with the CRD (see Appendix C for details). To verify that DOC plays a role in metals transport, relationships between DOC and aqueous metals concentrations were assessed.</w:t>
      </w:r>
    </w:p>
    <w:p>
      <w:pPr>
        <w:pStyle w:val="BodyText"/>
      </w:pPr>
      <w:r>
        <w:t xml:space="preserve"> </w:t>
      </w:r>
    </w:p>
    <w:p>
      <w:pPr>
        <w:pStyle w:val="BodyText"/>
      </w:pPr>
      <w:r>
        <w:t xml:space="preserve">Aqueous NOM, particularly high molecular weight aromatic compounds, are precursors to chlorinated DBPs. Drinking water supply for the CRD is treated simply by chlorinating raw source water, and therefore NOM could have important implications for treatability. To assess sample reactivity with respect to forming potentially harmful DBPs, samples were collected from four locations and sent to partners at the University of Waterloo for analyses of DBP-FPs (Appendix C1). Results from forWater DBP-FP experiments were used to evaluate relationships between DOC, SAC</w:t>
      </w:r>
      <w:r>
        <w:rPr>
          <w:vertAlign w:val="subscript"/>
        </w:rPr>
        <w:t xml:space="preserve">254</w:t>
      </w:r>
      <w:r>
        <w:t xml:space="preserve">, SUVA</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with individual DBP-FPs.</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and predominantly dry season, and the timing and length of seasons can vary year to year. Here, seasons were differentiated by sampling method restrictions. As Vertical Rack sampling was initiated by stream stage changes and ended when streamflow dropped, the</w:t>
      </w:r>
      <w:r>
        <w:t xml:space="preserve"> </w:t>
      </w:r>
      <w:r>
        <w:t xml:space="preserve">“</w:t>
      </w:r>
      <w:r>
        <w:t xml:space="preserve">dry</w:t>
      </w:r>
      <w:r>
        <w:t xml:space="preserve">”</w:t>
      </w:r>
      <w:r>
        <w:t xml:space="preserve"> </w:t>
      </w:r>
      <w:r>
        <w:t xml:space="preserve">season was characterized by baseflow conditions where stream response was not detected at the six Vertical Racks, and the onset of the</w:t>
      </w:r>
      <w:r>
        <w:t xml:space="preserve"> </w:t>
      </w:r>
      <w:r>
        <w:t xml:space="preserve">“</w:t>
      </w:r>
      <w:r>
        <w:t xml:space="preserve">wet</w:t>
      </w:r>
      <w:r>
        <w:t xml:space="preserve">”</w:t>
      </w:r>
      <w:r>
        <w:t xml:space="preserve"> </w:t>
      </w:r>
      <w:r>
        <w:t xml:space="preserve">season was signified by stream responses that triggered sample collection by Vertical Racks at all of the six monitoring sites across the Leech WSA..</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define events which aligned with stream response across the Leech WSA. Rain event data were used to put sampled events in context of one another.</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 all subsequent data analysis, interpretation and evaluations discussed in following chapters.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WSA. Chris Creek weather station (560 m a.s.l) is near the headwaters of the Leech watershed and Martin’s Gulch (512 m a.s.l) is located on a ridge near the future point of diversion, the Leech River Tunnel (Table</w:t>
      </w:r>
      <w:r>
        <w:t xml:space="preserve"> </w:t>
      </w:r>
      <w:r>
        <w:t xml:space="preserve">4</w:t>
      </w:r>
      <w:r>
        <w:t xml:space="preserve">). Rain data were used in contextualizing Rack sampling events and seasons, while air temperature data were used in quality control assessments of Vertical Rack sample hold-times. Daily mean air temperatures at each monitoring site were measured and recorded with Hobo TidbiT loggers from 2019-08-24 to 2020-02-18 (field study end), and temperatures prior to TidbiT deployment were estimated by linear regression with CRD weather station data (Appendix B2).</w:t>
      </w:r>
    </w:p>
    <w:p>
      <w:pPr>
        <w:pStyle w:val="BodyText"/>
      </w:pPr>
      <w:r>
        <w:t xml:space="preserve"> </w:t>
      </w:r>
    </w:p>
    <w:p>
      <w:pPr>
        <w:pStyle w:val="TableCaption"/>
      </w:pPr>
      <w:r>
        <w:t xml:space="preserve">Table 4: CRD fire-weather station (FWx) summary of features</w:t>
      </w:r>
    </w:p>
    <w:tbl>
      <w:tblPr>
        <w:tblStyle w:val="Table"/>
        <w:tblW w:type="pct" w:w="5000.0"/>
        <w:tblLook w:firstRow="1"/>
        <w:tblCaption w:val="Table 4: CRD fire-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were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B2 for summary of data from each FWx station). Although these data likely over-represented rain amounts that generated runoff in this forested catchment,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Mean daily air temperature, rain and accumulated snow from Chris Creek (560 m a.s.l) and Martin’s Gulch (512 m a.s.l) fire-weather stations in the Leech Water Supply Area, where the coloured sections following the dashed ‘Project Start’ line indicate data from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Mean daily air temperature, rain and accumulated snow from Chris Creek (560 m a.s.l) and Martin’s Gulch (512 m a.s.l) fire-weather stations in the Leech Water Supply Area, where the coloured sections following the dashed</w:t>
      </w:r>
      <w:r>
        <w:t xml:space="preserve"> </w:t>
      </w:r>
      <w:r>
        <w:t xml:space="preserve">‘</w:t>
      </w:r>
      <w:r>
        <w:t xml:space="preserve">Project Start</w:t>
      </w:r>
      <w:r>
        <w:t xml:space="preserve">’</w:t>
      </w:r>
      <w:r>
        <w:t xml:space="preserve"> </w:t>
      </w:r>
      <w:r>
        <w:t xml:space="preserve">line indicate data from the study period.</w:t>
      </w:r>
    </w:p>
    <w:p>
      <w:pPr>
        <w:pStyle w:val="BodyText"/>
      </w:pPr>
      <w:r>
        <w:t xml:space="preserve"> </w:t>
      </w:r>
    </w:p>
    <w:p>
      <w:pPr>
        <w:pStyle w:val="BodyText"/>
      </w:pPr>
      <w:r>
        <w:t xml:space="preserve">On average, October 2018 through to February 2020 (the study period) was warmer (0.56° C) and drier (7.5 mm/month or 13.4%) than historical (1971-2000) climate normals (</w:t>
      </w:r>
      <w:r>
        <w:t xml:space="preserve">PCIC (</w:t>
      </w:r>
      <w:hyperlink w:anchor="ref-PCIC2020">
        <w:r>
          <w:rPr>
            <w:rStyle w:val="Hyperlink"/>
          </w:rPr>
          <w:t xml:space="preserve">2020</w:t>
        </w:r>
      </w:hyperlink>
      <w:r>
        <w:t xml:space="preserve">)</w:t>
      </w:r>
      <w:r>
        <w:t xml:space="preserve">; see Appendix B1 for full details).</w:t>
      </w:r>
    </w:p>
    <w:p>
      <w:pPr>
        <w:pStyle w:val="BodyText"/>
      </w:pPr>
      <w:r>
        <w:t xml:space="preserve"> </w:t>
      </w:r>
    </w:p>
    <w:p>
      <w:pPr>
        <w:pStyle w:val="Heading4"/>
      </w:pPr>
      <w:bookmarkStart w:id="58" w:name="Xd009e0b3f25667325cab1244c32d9e6de0c2e6c"/>
      <w:r>
        <w:t xml:space="preserve">Seasonal delineation and Rack sample collection</w:t>
      </w:r>
      <w:bookmarkEnd w:id="58"/>
    </w:p>
    <w:p>
      <w:pPr>
        <w:pStyle w:val="FirstParagraph"/>
      </w:pPr>
      <w:r>
        <w:t xml:space="preserve">A total of 18 rain events were captured using Rack samplers. Events were defined as 50 mm and larger,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where Vertical Rack samples were collected along the rising hydrograph limb of the event (corresponding to a threshold of 50 mm accumulation with 14-hour inter-event period)</w:t>
      </w:r>
    </w:p>
    <w:tbl>
      <w:tblPr>
        <w:tblStyle w:val="Table"/>
        <w:tblW w:type="pct" w:w="5000.0"/>
        <w:tblLook w:firstRow="1"/>
        <w:tblCaption w:val="Table 6: Rain events where Vertical Rack samples were collected along the rising hydrograph limb of the event (corresponding to a threshold of 50 mm accumulation with 14-hour inter-event period)"/>
      </w:tblPr>
      <w:tblGrid>
        <w:gridCol w:w="1047"/>
        <w:gridCol w:w="720"/>
        <w:gridCol w:w="1047"/>
        <w:gridCol w:w="1374"/>
        <w:gridCol w:w="916"/>
        <w:gridCol w:w="2814"/>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left"/>
            </w:pPr>
            <w:r>
              <w:t xml:space="preserve">Percent of total rain for the study period</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20.2</w:t>
            </w:r>
          </w:p>
        </w:tc>
        <w:tc>
          <w:p>
            <w:pPr>
              <w:pStyle w:val="Compact"/>
              <w:jc w:val="right"/>
            </w:pPr>
            <w:r>
              <w:t xml:space="preserve">124</w:t>
            </w:r>
          </w:p>
        </w:tc>
        <w:tc>
          <w:p>
            <w:pPr>
              <w:pStyle w:val="Compact"/>
              <w:jc w:val="left"/>
            </w:pPr>
            <w:r>
              <w:t xml:space="preserve">3.8 %</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60.5</w:t>
            </w:r>
          </w:p>
        </w:tc>
        <w:tc>
          <w:p>
            <w:pPr>
              <w:pStyle w:val="Compact"/>
              <w:jc w:val="right"/>
            </w:pPr>
            <w:r>
              <w:t xml:space="preserve">55</w:t>
            </w:r>
          </w:p>
        </w:tc>
        <w:tc>
          <w:p>
            <w:pPr>
              <w:pStyle w:val="Compact"/>
              <w:jc w:val="left"/>
            </w:pPr>
            <w:r>
              <w:t xml:space="preserve">1.7 %</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43.9</w:t>
            </w:r>
          </w:p>
        </w:tc>
        <w:tc>
          <w:p>
            <w:pPr>
              <w:pStyle w:val="Compact"/>
              <w:jc w:val="right"/>
            </w:pPr>
            <w:r>
              <w:t xml:space="preserve">156</w:t>
            </w:r>
          </w:p>
        </w:tc>
        <w:tc>
          <w:p>
            <w:pPr>
              <w:pStyle w:val="Compact"/>
              <w:jc w:val="left"/>
            </w:pPr>
            <w:r>
              <w:t xml:space="preserve">4.8 %</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41.6</w:t>
            </w:r>
          </w:p>
        </w:tc>
        <w:tc>
          <w:p>
            <w:pPr>
              <w:pStyle w:val="Compact"/>
              <w:jc w:val="right"/>
            </w:pPr>
            <w:r>
              <w:t xml:space="preserve">205</w:t>
            </w:r>
          </w:p>
        </w:tc>
        <w:tc>
          <w:p>
            <w:pPr>
              <w:pStyle w:val="Compact"/>
              <w:jc w:val="left"/>
            </w:pPr>
            <w:r>
              <w:t xml:space="preserve">6.3 %</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29.4</w:t>
            </w:r>
          </w:p>
        </w:tc>
        <w:tc>
          <w:p>
            <w:pPr>
              <w:pStyle w:val="Compact"/>
              <w:jc w:val="right"/>
            </w:pPr>
            <w:r>
              <w:t xml:space="preserve">182</w:t>
            </w:r>
          </w:p>
        </w:tc>
        <w:tc>
          <w:p>
            <w:pPr>
              <w:pStyle w:val="Compact"/>
              <w:jc w:val="left"/>
            </w:pPr>
            <w:r>
              <w:t xml:space="preserve">5.6 %</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22.4</w:t>
            </w:r>
          </w:p>
        </w:tc>
        <w:tc>
          <w:p>
            <w:pPr>
              <w:pStyle w:val="Compact"/>
              <w:jc w:val="right"/>
            </w:pPr>
            <w:r>
              <w:t xml:space="preserve">55</w:t>
            </w:r>
          </w:p>
        </w:tc>
        <w:tc>
          <w:p>
            <w:pPr>
              <w:pStyle w:val="Compact"/>
              <w:jc w:val="left"/>
            </w:pPr>
            <w:r>
              <w:t xml:space="preserve">1.7 %</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54.2</w:t>
            </w:r>
          </w:p>
        </w:tc>
        <w:tc>
          <w:p>
            <w:pPr>
              <w:pStyle w:val="Compact"/>
              <w:jc w:val="right"/>
            </w:pPr>
            <w:r>
              <w:t xml:space="preserve">228</w:t>
            </w:r>
          </w:p>
        </w:tc>
        <w:tc>
          <w:p>
            <w:pPr>
              <w:pStyle w:val="Compact"/>
              <w:jc w:val="left"/>
            </w:pPr>
            <w:r>
              <w:t xml:space="preserve">7 %</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22.8</w:t>
            </w:r>
          </w:p>
        </w:tc>
        <w:tc>
          <w:p>
            <w:pPr>
              <w:pStyle w:val="Compact"/>
              <w:jc w:val="right"/>
            </w:pPr>
            <w:r>
              <w:t xml:space="preserve">69</w:t>
            </w:r>
          </w:p>
        </w:tc>
        <w:tc>
          <w:p>
            <w:pPr>
              <w:pStyle w:val="Compact"/>
              <w:jc w:val="left"/>
            </w:pPr>
            <w:r>
              <w:t xml:space="preserve">2.1 %</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18.8</w:t>
            </w:r>
          </w:p>
        </w:tc>
        <w:tc>
          <w:p>
            <w:pPr>
              <w:pStyle w:val="Compact"/>
              <w:jc w:val="right"/>
            </w:pPr>
            <w:r>
              <w:t xml:space="preserve">58</w:t>
            </w:r>
          </w:p>
        </w:tc>
        <w:tc>
          <w:p>
            <w:pPr>
              <w:pStyle w:val="Compact"/>
              <w:jc w:val="left"/>
            </w:pPr>
            <w:r>
              <w:t xml:space="preserve">1.8 %</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21.3</w:t>
            </w:r>
          </w:p>
        </w:tc>
        <w:tc>
          <w:p>
            <w:pPr>
              <w:pStyle w:val="Compact"/>
              <w:jc w:val="right"/>
            </w:pPr>
            <w:r>
              <w:t xml:space="preserve">136</w:t>
            </w:r>
          </w:p>
        </w:tc>
        <w:tc>
          <w:p>
            <w:pPr>
              <w:pStyle w:val="Compact"/>
              <w:jc w:val="left"/>
            </w:pPr>
            <w:r>
              <w:t xml:space="preserve">4.2 %</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29.1</w:t>
            </w:r>
          </w:p>
        </w:tc>
        <w:tc>
          <w:p>
            <w:pPr>
              <w:pStyle w:val="Compact"/>
              <w:jc w:val="right"/>
            </w:pPr>
            <w:r>
              <w:t xml:space="preserve">68</w:t>
            </w:r>
          </w:p>
        </w:tc>
        <w:tc>
          <w:p>
            <w:pPr>
              <w:pStyle w:val="Compact"/>
              <w:jc w:val="left"/>
            </w:pPr>
            <w:r>
              <w:t xml:space="preserve">2.1 %</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22.8</w:t>
            </w:r>
          </w:p>
        </w:tc>
        <w:tc>
          <w:p>
            <w:pPr>
              <w:pStyle w:val="Compact"/>
              <w:jc w:val="right"/>
            </w:pPr>
            <w:r>
              <w:t xml:space="preserve">70</w:t>
            </w:r>
          </w:p>
        </w:tc>
        <w:tc>
          <w:p>
            <w:pPr>
              <w:pStyle w:val="Compact"/>
              <w:jc w:val="left"/>
            </w:pPr>
            <w:r>
              <w:t xml:space="preserve">2.2 %</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27.7</w:t>
            </w:r>
          </w:p>
        </w:tc>
        <w:tc>
          <w:p>
            <w:pPr>
              <w:pStyle w:val="Compact"/>
              <w:jc w:val="right"/>
            </w:pPr>
            <w:r>
              <w:t xml:space="preserve">112</w:t>
            </w:r>
          </w:p>
        </w:tc>
        <w:tc>
          <w:p>
            <w:pPr>
              <w:pStyle w:val="Compact"/>
              <w:jc w:val="left"/>
            </w:pPr>
            <w:r>
              <w:t xml:space="preserve">3.5 %</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28.9</w:t>
            </w:r>
          </w:p>
        </w:tc>
        <w:tc>
          <w:p>
            <w:pPr>
              <w:pStyle w:val="Compact"/>
              <w:jc w:val="right"/>
            </w:pPr>
            <w:r>
              <w:t xml:space="preserve">57</w:t>
            </w:r>
          </w:p>
        </w:tc>
        <w:tc>
          <w:p>
            <w:pPr>
              <w:pStyle w:val="Compact"/>
              <w:jc w:val="left"/>
            </w:pPr>
            <w:r>
              <w:t xml:space="preserve">1.8 %</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31.7</w:t>
            </w:r>
          </w:p>
        </w:tc>
        <w:tc>
          <w:p>
            <w:pPr>
              <w:pStyle w:val="Compact"/>
              <w:jc w:val="right"/>
            </w:pPr>
            <w:r>
              <w:t xml:space="preserve">180</w:t>
            </w:r>
          </w:p>
        </w:tc>
        <w:tc>
          <w:p>
            <w:pPr>
              <w:pStyle w:val="Compact"/>
              <w:jc w:val="left"/>
            </w:pPr>
            <w:r>
              <w:t xml:space="preserve">5.5 %</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24.0</w:t>
            </w:r>
          </w:p>
        </w:tc>
        <w:tc>
          <w:p>
            <w:pPr>
              <w:pStyle w:val="Compact"/>
              <w:jc w:val="right"/>
            </w:pPr>
            <w:r>
              <w:t xml:space="preserve">238</w:t>
            </w:r>
          </w:p>
        </w:tc>
        <w:tc>
          <w:p>
            <w:pPr>
              <w:pStyle w:val="Compact"/>
              <w:jc w:val="left"/>
            </w:pPr>
            <w:r>
              <w:t xml:space="preserve">7.3 %</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111.3</w:t>
            </w:r>
          </w:p>
        </w:tc>
        <w:tc>
          <w:p>
            <w:pPr>
              <w:pStyle w:val="Compact"/>
              <w:jc w:val="right"/>
            </w:pPr>
            <w:r>
              <w:t xml:space="preserve">209</w:t>
            </w:r>
          </w:p>
        </w:tc>
        <w:tc>
          <w:p>
            <w:pPr>
              <w:pStyle w:val="Compact"/>
              <w:jc w:val="left"/>
            </w:pPr>
            <w:r>
              <w:t xml:space="preserve">6.4 %</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22.4</w:t>
            </w:r>
          </w:p>
        </w:tc>
        <w:tc>
          <w:p>
            <w:pPr>
              <w:pStyle w:val="Compact"/>
              <w:jc w:val="right"/>
            </w:pPr>
            <w:r>
              <w:t xml:space="preserve">76</w:t>
            </w:r>
          </w:p>
        </w:tc>
        <w:tc>
          <w:p>
            <w:pPr>
              <w:pStyle w:val="Compact"/>
              <w:jc w:val="left"/>
            </w:pPr>
            <w:r>
              <w:t xml:space="preserve">2.3 %</w:t>
            </w:r>
          </w:p>
        </w:tc>
      </w:tr>
    </w:tbl>
    <w:p>
      <w:pPr>
        <w:pStyle w:val="BodyText"/>
      </w:pPr>
      <w:r>
        <w:t xml:space="preserve"> </w:t>
      </w:r>
    </w:p>
    <w:p>
      <w:pPr>
        <w:pStyle w:val="BodyText"/>
      </w:pPr>
      <w:r>
        <w:t xml:space="preserve">Stream response was primarily driven by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in the 2018/2019 wet season, despite the lack of major rain events (Figure</w:t>
      </w:r>
      <w:r>
        <w:t xml:space="preserve"> </w:t>
      </w:r>
      <w:r>
        <w:t xml:space="preserve">5</w:t>
      </w:r>
      <w:r>
        <w:t xml:space="preserve">). The 2018/2019 wet season, which was 26% drier (26 mm/mo) and 0.48° C warmer than normal on average, extended from the start of the project (October 2018) to mid-May 2019 with snowmelt primarily contributing to streamflow in the Leech WSA during the period from late January (event 8, Table</w:t>
      </w:r>
      <w:r>
        <w:t xml:space="preserve"> </w:t>
      </w:r>
      <w:r>
        <w:t xml:space="preserve">6</w:t>
      </w:r>
      <w:r>
        <w:t xml:space="preserve">) to mid-May 2019. The dry sampling season spanned from mid-May to late-September 2019 and was, on average, 1.4% wetter (6.4 mm/mo) and 0.94° C warmer than normal, though September 2019 was 132% wetter than normal</w:t>
      </w:r>
      <w:r>
        <w:t xml:space="preserve"> </w:t>
      </w:r>
      <w:r>
        <w:t xml:space="preserve">(PCIC</w:t>
      </w:r>
      <w:r>
        <w:t xml:space="preserve"> </w:t>
      </w:r>
      <w:hyperlink w:anchor="ref-PCIC2020">
        <w:r>
          <w:rPr>
            <w:rStyle w:val="Hyperlink"/>
          </w:rPr>
          <w:t xml:space="preserve">2020</w:t>
        </w:r>
      </w:hyperlink>
      <w:r>
        <w:t xml:space="preserve">)</w:t>
      </w:r>
      <w:r>
        <w:t xml:space="preserve">. The 2019/2020 wet season began mid-September (event 9, Table</w:t>
      </w:r>
      <w:r>
        <w:t xml:space="preserve"> </w:t>
      </w:r>
      <w:r>
        <w:t xml:space="preserve">6</w:t>
      </w:r>
      <w:r>
        <w:t xml:space="preserve">) and extended to the end of the field study period (Feb 20, 2020). Overall, the 2019/2020 wet season was 5% drier than normal on average, but January 2020 was 136% wetter than normal [</w:t>
      </w:r>
      <w:r>
        <w:t xml:space="preserve">PCIC (</w:t>
      </w:r>
      <w:hyperlink w:anchor="ref-PCIC2020">
        <w:r>
          <w:rPr>
            <w:rStyle w:val="Hyperlink"/>
          </w:rPr>
          <w:t xml:space="preserve">2020</w:t>
        </w:r>
      </w:hyperlink>
      <w:r>
        <w:t xml:space="preserve">)</w:t>
      </w:r>
      <w:r>
        <w:t xml:space="preserve">; Appendix B1].</w:t>
      </w:r>
    </w:p>
    <w:p>
      <w:pPr>
        <w:pStyle w:val="BodyText"/>
      </w:pPr>
      <w:r>
        <w:t xml:space="preserve"> </w:t>
      </w:r>
    </w:p>
    <w:p>
      <w:pPr>
        <w:pStyle w:val="CaptionedFigure"/>
      </w:pPr>
      <w:r>
        <w:drawing>
          <wp:inline>
            <wp:extent cx="5943600" cy="6629399"/>
            <wp:effectExtent b="0" l="0" r="0" t="0"/>
            <wp:docPr descr="Figure 5:  Leech Water Supply Area air temperature, rain and snow depth (CRD 2020) 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rain and snow depth</w:t>
      </w:r>
      <w:r>
        <w:t xml:space="preserve"> </w:t>
      </w:r>
      <w:r>
        <w:t xml:space="preserve">(CRD</w:t>
      </w:r>
      <w:r>
        <w:t xml:space="preserve"> </w:t>
      </w:r>
      <w:hyperlink w:anchor="ref-CRD2020">
        <w:r>
          <w:rPr>
            <w:rStyle w:val="Hyperlink"/>
          </w:rPr>
          <w:t xml:space="preserve">2020</w:t>
        </w:r>
      </w:hyperlink>
      <w:r>
        <w:t xml:space="preserve">)</w:t>
      </w:r>
      <w:r>
        <w:t xml:space="preserve"> </w:t>
      </w:r>
      <w:r>
        <w:t xml:space="preserve">plotted with stream responses and sample collection at six monitoring sites. Vertical yellow lines indicate seasons, distinguished by rising limb Vertical Rack sampling (wet season). The dashed yellow line shows the 2018/2019 wet season separation of rain and rain/snowmelt dominated streamflow.</w:t>
      </w:r>
    </w:p>
    <w:p>
      <w:pPr>
        <w:pStyle w:val="BodyText"/>
      </w:pPr>
      <w:r>
        <w:t xml:space="preserve"> </w:t>
      </w:r>
    </w:p>
    <w:p>
      <w:pPr>
        <w:pStyle w:val="Heading4"/>
      </w:pPr>
      <w:bookmarkStart w:id="60" w:name="X939c306b5514c7d2f35a01a6e7ad7aa86b136b8"/>
      <w:r>
        <w:t xml:space="preserve">Collaborative analyses for treatability and metals</w:t>
      </w:r>
      <w:bookmarkEnd w:id="60"/>
    </w:p>
    <w:p>
      <w:pPr>
        <w:pStyle w:val="FirstParagraph"/>
      </w:pPr>
      <w:r>
        <w:t xml:space="preserve">Relationships between DBP-FPs with DOC, SUVA</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and SAC</w:t>
      </w:r>
      <w:r>
        <w:rPr>
          <w:vertAlign w:val="subscript"/>
        </w:rPr>
        <w:t xml:space="preserve">254</w:t>
      </w:r>
      <w:r>
        <w:t xml:space="preserve"> </w:t>
      </w:r>
      <w:r>
        <w:t xml:space="preserve">(Figure</w:t>
      </w:r>
      <w:r>
        <w:t xml:space="preserve"> </w:t>
      </w:r>
      <w:r>
        <w:t xml:space="preserve">6</w:t>
      </w:r>
      <w:r>
        <w:t xml:space="preserve">, see Appendix C1 for full details) revealed that SAC</w:t>
      </w:r>
      <w:r>
        <w:rPr>
          <w:vertAlign w:val="subscript"/>
        </w:rPr>
        <w:t xml:space="preserve">254</w:t>
      </w:r>
      <w:r>
        <w:t xml:space="preserve"> </w:t>
      </w:r>
      <w:r>
        <w:t xml:space="preserve">was the best indicator of NOM reactivity with respect to DBP-FPs. Results from two sets of samples at four selected sites (n = 8) revealed that SAC</w:t>
      </w:r>
      <w:r>
        <w:rPr>
          <w:vertAlign w:val="subscript"/>
        </w:rPr>
        <w:t xml:space="preserve">254</w:t>
      </w:r>
      <w:r>
        <w:t xml:space="preserve"> </w:t>
      </w:r>
      <w:r>
        <w:t xml:space="preserve">was better correlated to most DBP-FPs (r = 0.68, overall) than was SUVA</w:t>
      </w:r>
      <w:r>
        <w:rPr>
          <w:vertAlign w:val="subscript"/>
        </w:rPr>
        <w:t xml:space="preserve">254</w:t>
      </w:r>
      <w:r>
        <w:t xml:space="preserve"> </w:t>
      </w:r>
      <w:r>
        <w:t xml:space="preserve">(r = 0.36) or DOC (r = 0.50). E</w:t>
      </w:r>
      <w:r>
        <w:rPr>
          <w:vertAlign w:val="subscript"/>
        </w:rPr>
        <w:t xml:space="preserve">2</w:t>
      </w:r>
      <w:r>
        <w:t xml:space="preserve">:E</w:t>
      </w:r>
      <w:r>
        <w:rPr>
          <w:vertAlign w:val="subscript"/>
        </w:rPr>
        <w:t xml:space="preserve">3</w:t>
      </w:r>
      <w:r>
        <w:t xml:space="preserve"> </w:t>
      </w:r>
      <w:r>
        <w:t xml:space="preserve">was not well correlated to DBP-FPs (not shown in Figure</w:t>
      </w:r>
      <w:r>
        <w:t xml:space="preserve"> </w:t>
      </w:r>
      <w:r>
        <w:t xml:space="preserve">6</w:t>
      </w:r>
      <w:r>
        <w:t xml:space="preserve">).</w:t>
      </w:r>
    </w:p>
    <w:p>
      <w:pPr>
        <w:pStyle w:val="BodyText"/>
      </w:pPr>
      <w:r>
        <w:t xml:space="preserve"> </w:t>
      </w:r>
    </w:p>
    <w:p>
      <w:pPr>
        <w:pStyle w:val="BodyText"/>
      </w:pPr>
      <w:r>
        <w:t xml:space="preserve">In particular, SAC</w:t>
      </w:r>
      <w:r>
        <w:rPr>
          <w:vertAlign w:val="subscript"/>
        </w:rPr>
        <w:t xml:space="preserve">254</w:t>
      </w:r>
      <w:r>
        <w:t xml:space="preserve"> </w:t>
      </w:r>
      <w:r>
        <w:t xml:space="preserve">was well correlated with total trihalomethanes (THM, r = 0.9882) including trichloromethane (TCM, r = 0.9869); total haloacetic acids (HAAs, r = 0.9927), including dichloroacetic acid (DCAA, r = 0.9945) and trichloroacetic acid (TCAA,r = 0.9900). SAC</w:t>
      </w:r>
      <w:r>
        <w:rPr>
          <w:vertAlign w:val="subscript"/>
        </w:rPr>
        <w:t xml:space="preserve">254</w:t>
      </w:r>
      <w:r>
        <w:t xml:space="preserve"> </w:t>
      </w:r>
      <w:r>
        <w:t xml:space="preserve">was only weakly correlated to bromodichloromethane (BDCM, r = 0.6539). Based on these results, SAC</w:t>
      </w:r>
      <w:r>
        <w:rPr>
          <w:vertAlign w:val="subscript"/>
        </w:rPr>
        <w:t xml:space="preserve">254</w:t>
      </w:r>
      <w:r>
        <w:t xml:space="preserve"> </w:t>
      </w:r>
      <w:r>
        <w:t xml:space="preserve">was included as an indicator of aromatic NOM reactivity, and SUVA</w:t>
      </w:r>
      <w:r>
        <w:rPr>
          <w:vertAlign w:val="subscript"/>
        </w:rPr>
        <w:t xml:space="preserve">254</w:t>
      </w:r>
      <w:r>
        <w:t xml:space="preserve"> </w:t>
      </w:r>
      <w:r>
        <w:t xml:space="preserve">was omitted from analyses. E</w:t>
      </w:r>
      <w:r>
        <w:rPr>
          <w:vertAlign w:val="subscript"/>
        </w:rPr>
        <w:t xml:space="preserve">2</w:t>
      </w:r>
      <w:r>
        <w:t xml:space="preserve">:E</w:t>
      </w:r>
      <w:r>
        <w:rPr>
          <w:vertAlign w:val="subscript"/>
        </w:rPr>
        <w:t xml:space="preserve">3</w:t>
      </w:r>
      <w:r>
        <w:t xml:space="preserve"> </w:t>
      </w:r>
      <w:r>
        <w:t xml:space="preserve">was used as an (inverse) indicator of aqueous NOM aromaticity and molecular size (Peuravuori and Pihlaja 1997; Helms et al. 2008).</w:t>
      </w:r>
    </w:p>
    <w:p>
      <w:pPr>
        <w:pStyle w:val="BodyText"/>
      </w:pPr>
      <w:r>
        <w:t xml:space="preserve"> </w:t>
      </w:r>
    </w:p>
    <w:p>
      <w:pPr>
        <w:pStyle w:val="CaptionedFigure"/>
      </w:pPr>
      <w:r>
        <w:drawing>
          <wp:inline>
            <wp:extent cx="5504749" cy="5963478"/>
            <wp:effectExtent b="0" l="0" r="0" t="0"/>
            <wp:docPr descr="Figure 6:  Disinfection by-product formation potentials (DBP-FPs) with dissolved organic carbon (DOC,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61"/>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Disinfection by-product formation potentials (DBP-FPs) with dissolved organic carbon (DOC, left column), spectral absorbance coefficient at 254 nm (SAC</w:t>
      </w:r>
      <w:r>
        <w:rPr>
          <w:vertAlign w:val="subscript"/>
        </w:rPr>
        <w:t xml:space="preserve">254</w:t>
      </w:r>
      <w:r>
        <w:t xml:space="preserve">) and specific UV absorbance at 254nm (SUVA</w:t>
      </w:r>
      <w:r>
        <w:rPr>
          <w:vertAlign w:val="subscript"/>
        </w:rPr>
        <w:t xml:space="preserve">254</w:t>
      </w:r>
      <w:r>
        <w:t xml:space="preserve">). Duplicate samples collected at four sites in the Leech WSA on two occasions. DBPs include: total trihalomethanes (THM), trichloromethane (TCM), bromodichloromethane (BDCM), total haloacetic acids (HAAs), dichloroacetic acid (DCAA), trichloroacetic acid (TCAA). Below levels of detection (thus not shows here) were DBP-FP results for tribromomethane (TBM), dibromoacetic acid (DBAA), dibromochloromethane (DBCM), monochloroacetic acid (MCAA), monobromoacetic acid (MBAA).</w:t>
      </w:r>
    </w:p>
    <w:p>
      <w:pPr>
        <w:pStyle w:val="BodyText"/>
      </w:pPr>
      <w:r>
        <w:t xml:space="preserve"> </w:t>
      </w:r>
    </w:p>
    <w:p>
      <w:pPr>
        <w:pStyle w:val="BodyText"/>
      </w:pPr>
      <w:r>
        <w:t xml:space="preserve">Evaluation of DOC in relation to metals data provided by the CRD (see Appendix C2 for details and results plots) showed that DOC was positively correlated with aqueous total mercury (r = 0.9999), iron (r = 0.8326), manganese (r = 0.7706), and aluminum (r = 0.6297). While the relationships were not strong, DOC was also positively related to concentrations of barium (r = 0.4745), copper (r = 0.4198), and arsenic (r = 0.3335). Based on these results, it seems apt to consider DOC a master variable linked to metals transport (Appendix C2) and reinforces the importance of monitoring DOC concentration in source water supply.</w:t>
      </w:r>
    </w:p>
    <w:p>
      <w:pPr>
        <w:pStyle w:val="BodyText"/>
      </w:pPr>
      <w:r>
        <w:t xml:space="preserve"> </w:t>
      </w:r>
    </w:p>
    <w:p>
      <w:pPr>
        <w:pStyle w:val="Heading4"/>
      </w:pPr>
      <w:bookmarkStart w:id="62" w:name="vertical-rack-sampling-quality-assurance"/>
      <w:r>
        <w:t xml:space="preserve">Vertical Rack sampling quality assurance</w:t>
      </w:r>
      <w:bookmarkEnd w:id="62"/>
    </w:p>
    <w:p>
      <w:pPr>
        <w:pStyle w:val="Heading5"/>
      </w:pPr>
      <w:bookmarkStart w:id="63" w:name="trail-cameras-and-circulating-dye-test"/>
      <w:r>
        <w:t xml:space="preserve">Trail cameras and circulating dye-test</w:t>
      </w:r>
      <w:bookmarkEnd w:id="63"/>
    </w:p>
    <w:p>
      <w:pPr>
        <w:pStyle w:val="FirstParagraph"/>
      </w:pPr>
      <w:r>
        <w:t xml:space="preserve">Trail cameras installed at four of the six monitoring sites provided observations of streamflow during Rack sample collection. Images (captured every 15 minutes) showed highly turbulent flows across rising limb stages (Figure</w:t>
      </w:r>
      <w:r>
        <w:t xml:space="preserve"> </w:t>
      </w:r>
      <w:r>
        <w:t xml:space="preserve">7</w:t>
      </w:r>
      <w:r>
        <w:t xml:space="preserve">). Therefore, the assumption that Vertical Rack samples were collected from well-mixed, un-stratified water was accepted.</w:t>
      </w:r>
    </w:p>
    <w:p>
      <w:pPr>
        <w:pStyle w:val="CaptionedFigure"/>
      </w:pPr>
      <w:r>
        <w:drawing>
          <wp:inline>
            <wp:extent cx="5943600" cy="3435291"/>
            <wp:effectExtent b="0" l="0" r="0" t="0"/>
            <wp:docPr descr="Figure 7:  Trail camera images from four of the six Leech WSA monitoring sites showing turbulent flows upstream of and around Vertical Rack installations, satisfying the assumption of well-mixed water columns." title="" id="1" name="Picture"/>
            <a:graphic>
              <a:graphicData uri="http://schemas.openxmlformats.org/drawingml/2006/picture">
                <pic:pic>
                  <pic:nvPicPr>
                    <pic:cNvPr descr="R-inputs_UBC-forWater-MSc_HMc/images/Rack_turbulent-flows.png" id="0" name="Picture"/>
                    <pic:cNvPicPr>
                      <a:picLocks noChangeArrowheads="1" noChangeAspect="1"/>
                    </pic:cNvPicPr>
                  </pic:nvPicPr>
                  <pic:blipFill>
                    <a:blip r:embed="rId64"/>
                    <a:stretch>
                      <a:fillRect/>
                    </a:stretch>
                  </pic:blipFill>
                  <pic:spPr bwMode="auto">
                    <a:xfrm>
                      <a:off x="0" y="0"/>
                      <a:ext cx="5943600" cy="3435291"/>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Trail camera images from four of the six Leech WSA monitoring sites showing turbulent flows upstream of and around Vertical Rack installations, satisfying the assumption of well-mixed water columns.</w:t>
      </w:r>
    </w:p>
    <w:p>
      <w:pPr>
        <w:pStyle w:val="BodyText"/>
      </w:pPr>
      <w:r>
        <w:t xml:space="preserve"> </w:t>
      </w:r>
    </w:p>
    <w:p>
      <w:pPr>
        <w:pStyle w:val="BodyText"/>
      </w:pPr>
      <w:r>
        <w:t xml:space="preserve">Discrete sample collection was validated in the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pPr>
        <w:pStyle w:val="BodyText"/>
      </w:pPr>
      <w:r>
        <w:t xml:space="preserve"> </w:t>
      </w:r>
    </w:p>
    <w:p>
      <w:pPr>
        <w:pStyle w:val="Heading5"/>
      </w:pPr>
      <w:bookmarkStart w:id="65" w:name="hold-time-experiments"/>
      <w:r>
        <w:t xml:space="preserve">Hold-time experiments</w:t>
      </w:r>
      <w:bookmarkEnd w:id="65"/>
    </w:p>
    <w:p>
      <w:pPr>
        <w:pStyle w:val="FirstParagraph"/>
      </w:pPr>
      <w:r>
        <w:t xml:space="preserve">Hold-time experiments included three sets of ten samples, each set compared five samples held on the Vertical Rack (</w:t>
      </w:r>
      <w:r>
        <w:t xml:space="preserve">“</w:t>
      </w:r>
      <w:r>
        <w:t xml:space="preserve">held</w:t>
      </w:r>
      <w:r>
        <w:t xml:space="preserve">”</w:t>
      </w:r>
      <w:r>
        <w:t xml:space="preserve">) to five replicate samples analyzed immediately after collection (</w:t>
      </w:r>
      <w:r>
        <w:t xml:space="preserve">“</w:t>
      </w:r>
      <w:r>
        <w:t xml:space="preserve">fresh</w:t>
      </w:r>
      <w:r>
        <w:t xml:space="preserve">”</w:t>
      </w:r>
      <w:r>
        <w:t xml:space="preserve">). For each set (set</w:t>
      </w:r>
      <w:r>
        <w:t xml:space="preserve"> </w:t>
      </w:r>
      <w:r>
        <w:t xml:space="preserve">‘</w:t>
      </w:r>
      <w:r>
        <w:t xml:space="preserve">A</w:t>
      </w:r>
      <w:r>
        <w:t xml:space="preserve">’</w:t>
      </w:r>
      <w:r>
        <w:t xml:space="preserve">,</w:t>
      </w:r>
      <w:r>
        <w:t xml:space="preserve"> </w:t>
      </w:r>
      <w:r>
        <w:t xml:space="preserve">‘</w:t>
      </w:r>
      <w:r>
        <w:t xml:space="preserve">B</w:t>
      </w:r>
      <w:r>
        <w:t xml:space="preserve">’</w:t>
      </w:r>
      <w:r>
        <w:t xml:space="preserve"> </w:t>
      </w:r>
      <w:r>
        <w:t xml:space="preserve">and</w:t>
      </w:r>
      <w:r>
        <w:t xml:space="preserve"> </w:t>
      </w:r>
      <w:r>
        <w:t xml:space="preserve">‘</w:t>
      </w:r>
      <w:r>
        <w:t xml:space="preserve">C</w:t>
      </w:r>
      <w:r>
        <w:t xml:space="preserve">’</w:t>
      </w:r>
      <w:r>
        <w:t xml:space="preserve">), the number of days that samples remained held on the Rack were used with air temperatures during the hold-period to assess Rack sample stability (Figure</w:t>
      </w:r>
      <w:r>
        <w:t xml:space="preserve"> </w:t>
      </w:r>
      <w:r>
        <w:t xml:space="preserve">8</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8: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6"/>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w:t>
      </w:r>
      <w:r>
        <w:t xml:space="preserve"> </w:t>
      </w:r>
      <w:r>
        <w:t xml:space="preserve">‘</w:t>
      </w:r>
      <w:r>
        <w:t xml:space="preserve">fresh</w:t>
      </w:r>
      <w:r>
        <w:t xml:space="preserve">’</w:t>
      </w:r>
      <w:r>
        <w:t xml:space="preserve"> </w:t>
      </w:r>
      <w:r>
        <w:t xml:space="preserve">samples (analyzed after collection) and ends with the retrieval of five</w:t>
      </w:r>
      <w:r>
        <w:t xml:space="preserve"> </w:t>
      </w:r>
      <w:r>
        <w:t xml:space="preserve">‘</w:t>
      </w:r>
      <w:r>
        <w:t xml:space="preserve">held</w:t>
      </w:r>
      <w:r>
        <w:t xml:space="preserve">’</w:t>
      </w:r>
      <w:r>
        <w:t xml:space="preserve"> </w:t>
      </w:r>
      <w:r>
        <w:t xml:space="preserve">samples (kept in the field on a Vertical Rack). Held samples from Set A were on the Rack for 11 days; Set B, 20 days; and Set C, 34 days. These hold-time experiments were conducted at the Leech Tunnel monitoring site, Leech water supply area, Greater Victoria, BC.</w:t>
      </w:r>
    </w:p>
    <w:p>
      <w:pPr>
        <w:pStyle w:val="BodyText"/>
      </w:pPr>
      <w:r>
        <w:t xml:space="preserve"> </w:t>
      </w:r>
    </w:p>
    <w:p>
      <w:pPr>
        <w:pStyle w:val="BodyText"/>
      </w:pPr>
      <w:r>
        <w:t xml:space="preserve">All samples were analyzed to quantify DOC and characterized NOM properties and hold-time set results of fresh and held samples were compared using two-sided paired Wilcoxon signed rank tests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held samples were on the Vertical Rack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between fresh (5.4 ± 0.1 mg/L) and rack-held samples (5.5 ± 0.1 mg/L). Set B also showed no significant change in E</w:t>
      </w:r>
      <w:r>
        <w:rPr>
          <w:vertAlign w:val="subscript"/>
        </w:rPr>
        <w:t xml:space="preserve">2</w:t>
      </w:r>
      <w:r>
        <w:t xml:space="preserve">:E</w:t>
      </w:r>
      <w:r>
        <w:rPr>
          <w:vertAlign w:val="subscript"/>
        </w:rPr>
        <w:t xml:space="preserve">3</w:t>
      </w:r>
      <w:r>
        <w:t xml:space="preserve"> </w:t>
      </w:r>
      <w:r>
        <w:t xml:space="preserve">values (4.58 ± 0.06 compared to 4.6 ± 0.2).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 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9</w:t>
      </w:r>
      <w:r>
        <w:t xml:space="preserve">, Table</w:t>
      </w:r>
      <w:r>
        <w:t xml:space="preserve"> </w:t>
      </w:r>
      <w:r>
        <w:t xml:space="preserve">7</w:t>
      </w:r>
      <w:r>
        <w:t xml:space="preserve">) there was no meaningful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w:t>
      </w:r>
      <w:r>
        <w:t xml:space="preserve"> </w:t>
      </w:r>
      <w:r>
        <w:t xml:space="preserve">9</w:t>
      </w:r>
      <w:r>
        <w:t xml:space="preserve">). Additionally, there were significant changes to SAC</w:t>
      </w:r>
      <w:r>
        <w:rPr>
          <w:vertAlign w:val="subscript"/>
        </w:rPr>
        <w:t xml:space="preserve">254</w:t>
      </w:r>
      <w:r>
        <w:t xml:space="preserve"> </w:t>
      </w:r>
      <w:r>
        <w:t xml:space="preserve">(p = 0.0625; 34% decrease in absorbance, from 14 ± 2 m</w:t>
      </w:r>
      <w:r>
        <w:rPr>
          <w:vertAlign w:val="superscript"/>
        </w:rPr>
        <w:t xml:space="preserve">-1</w:t>
      </w:r>
      <w:r>
        <w:t xml:space="preserve"> </w:t>
      </w:r>
      <w:r>
        <w:t xml:space="preserve">to 9 ± 2 m</w:t>
      </w:r>
      <w:r>
        <w:rPr>
          <w:vertAlign w:val="superscript"/>
        </w:rPr>
        <w:t xml:space="preserve">-1</w:t>
      </w:r>
      <w:r>
        <w:t xml:space="preserve">), and E</w:t>
      </w:r>
      <w:r>
        <w:rPr>
          <w:vertAlign w:val="subscript"/>
        </w:rPr>
        <w:t xml:space="preserve">2</w:t>
      </w:r>
      <w:r>
        <w:t xml:space="preserve">:E</w:t>
      </w:r>
      <w:r>
        <w:rPr>
          <w:vertAlign w:val="subscript"/>
        </w:rPr>
        <w:t xml:space="preserve">3</w:t>
      </w:r>
      <w:r>
        <w:t xml:space="preserve"> </w:t>
      </w:r>
      <w:r>
        <w:t xml:space="preserve">(p = 0.0625; 14% decrease, from 4.5 ± 0.2 to 3.9 ± 0.2). In addition to the changes in spectral properties, set C held samples had greater variability compared to the fresh sample counterparts (Figure</w:t>
      </w:r>
      <w:r>
        <w:t xml:space="preserve"> </w:t>
      </w:r>
      <w:r>
        <w:t xml:space="preserve">9</w:t>
      </w:r>
      <w:r>
        <w:t xml:space="preserve">).</w:t>
      </w:r>
    </w:p>
    <w:p>
      <w:pPr>
        <w:pStyle w:val="BodyText"/>
      </w:pPr>
      <w:r>
        <w:t xml:space="preserve"> </w:t>
      </w:r>
    </w:p>
    <w:p>
      <w:pPr>
        <w:pStyle w:val="CaptionedFigure"/>
      </w:pPr>
      <w:r>
        <w:drawing>
          <wp:inline>
            <wp:extent cx="5504749" cy="4587290"/>
            <wp:effectExtent b="0" l="0" r="0" t="0"/>
            <wp:docPr descr="Figure 9: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8" w:name="foundational-results-summary"/>
      <w:r>
        <w:t xml:space="preserve">Foundational results summary</w:t>
      </w:r>
      <w:bookmarkEnd w:id="68"/>
    </w:p>
    <w:p>
      <w:pPr>
        <w:pStyle w:val="FirstParagraph"/>
      </w:pPr>
      <w:r>
        <w:t xml:space="preserve">A challenge of Vertical Rack sampling is rapid retrieval of collected samples; delays may arise due to logistics of field access and high water can prohibit safe access to the Rack. Sample hold-times were determined and applied as quality assurance in data analysis. Continuously recorded stage data was coupled with manually recorded siphon-bottle heights to determine date-times of sample collection and to calculate Rack sample hold-times, which were used to flag and filter data.</w:t>
      </w:r>
    </w:p>
    <w:p>
      <w:pPr>
        <w:pStyle w:val="BodyText"/>
      </w:pPr>
      <w:r>
        <w:t xml:space="preserve"> </w:t>
      </w:r>
    </w:p>
    <w:p>
      <w:pPr>
        <w:pStyle w:val="BodyText"/>
      </w:pPr>
      <w:r>
        <w:t xml:space="preserve">Results of hold-time experiments showed that early-wet-season (</w:t>
      </w:r>
      <w:r>
        <w:t xml:space="preserve">“</w:t>
      </w:r>
      <w:r>
        <w:t xml:space="preserve">first flush</w:t>
      </w:r>
      <w:r>
        <w:t xml:space="preserve">”</w:t>
      </w:r>
      <w:r>
        <w:t xml:space="preserve">) samples contain more labile and aliphatic DOC which is unstable and should be analyzed immediately after collection. Later season samples contained DOC which was relatively more stable for up to and including 20 days when held at field temperatures that mimicked a refrigerator (0° C to 7° C). A hold-time of 34 days with periods of freezing resulted in significant changes to sample NOM molecular character (i.e. aromaticity, molecular size, reactivity) and greater variability in DOC concentrations among replicate samples. Additional tests would be required to determine if changes in NOM character were caused by the length of time the sample was held, or perhaps due only to freezing and thawing, or a combination of both time and temperature. Freezing has been shown to decrease sample DOC concentrations in laboratory experiments</w:t>
      </w:r>
      <w:r>
        <w:t xml:space="preserve"> </w:t>
      </w:r>
      <w:r>
        <w:t xml:space="preserve">(Fellman, D’Amore, and Hood</w:t>
      </w:r>
      <w:r>
        <w:t xml:space="preserve"> </w:t>
      </w:r>
      <w:hyperlink w:anchor="ref-Fellman2008">
        <w:r>
          <w:rPr>
            <w:rStyle w:val="Hyperlink"/>
          </w:rPr>
          <w:t xml:space="preserve">2008</w:t>
        </w:r>
      </w:hyperlink>
      <w:r>
        <w:t xml:space="preserve">)</w:t>
      </w:r>
      <w:r>
        <w:t xml:space="preserv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(based on logistics of field access) were flagged as unreliable and not included in further data analysis. Because of possible freeze-thaw changes to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BodyText"/>
      </w:pPr>
      <w:r>
        <w:t xml:space="preserve">DOC has been called a master variable for its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 Kellerman et al.</w:t>
      </w:r>
      <w:r>
        <w:t xml:space="preserve"> </w:t>
      </w:r>
      <w:hyperlink w:anchor="ref-Kellerman2018">
        <w:r>
          <w:rPr>
            <w:rStyle w:val="Hyperlink"/>
          </w:rPr>
          <w:t xml:space="preserve">2018</w:t>
        </w:r>
      </w:hyperlink>
      <w:r>
        <w:t xml:space="preserve">; LaZerte</w:t>
      </w:r>
      <w:r>
        <w:t xml:space="preserve"> </w:t>
      </w:r>
      <w:hyperlink w:anchor="ref-LaZerte1991">
        <w:r>
          <w:rPr>
            <w:rStyle w:val="Hyperlink"/>
          </w:rPr>
          <w:t xml:space="preserve">1991</w:t>
        </w:r>
      </w:hyperlink>
      <w:r>
        <w:t xml:space="preserve">)</w:t>
      </w:r>
      <w:r>
        <w:t xml:space="preserve">. This statement was supported by correlations between DOC concentration and aqueous metals in the Leech WSA streams (particularly mercury, iron, manganese and aluminum).</w:t>
      </w:r>
      <w:r>
        <w:t xml:space="preserve"> </w:t>
      </w:r>
      <w:r>
        <w:t xml:space="preserve">Additionally, NOM in drinking source water supply is partially responsible for the formation of disinfection by-products (DBPs) in treated drinking water</w:t>
      </w:r>
      <w:r>
        <w:t xml:space="preserve"> </w:t>
      </w:r>
      <w:r>
        <w:t xml:space="preserve">(Yang et al.</w:t>
      </w:r>
      <w:r>
        <w:t xml:space="preserve"> </w:t>
      </w:r>
      <w:hyperlink w:anchor="ref-Yang2015">
        <w:r>
          <w:rPr>
            <w:rStyle w:val="Hyperlink"/>
          </w:rPr>
          <w:t xml:space="preserve">2015</w:t>
        </w:r>
      </w:hyperlink>
      <w:r>
        <w:t xml:space="preserve">; Chow et al.</w:t>
      </w:r>
      <w:r>
        <w:t xml:space="preserve"> </w:t>
      </w:r>
      <w:hyperlink w:anchor="ref-Chow2008">
        <w:r>
          <w:rPr>
            <w:rStyle w:val="Hyperlink"/>
          </w:rPr>
          <w:t xml:space="preserve">2008</w:t>
        </w:r>
      </w:hyperlink>
      <w:r>
        <w:t xml:space="preserve">; Beauchamp et al.</w:t>
      </w:r>
      <w:r>
        <w:t xml:space="preserve"> </w:t>
      </w:r>
      <w:hyperlink w:anchor="ref-Beauchamp2018">
        <w:r>
          <w:rPr>
            <w:rStyle w:val="Hyperlink"/>
          </w:rPr>
          <w:t xml:space="preserve">2018</w:t>
        </w:r>
      </w:hyperlink>
      <w:r>
        <w:t xml:space="preserve">)</w:t>
      </w:r>
      <w:r>
        <w:t xml:space="preserve">. As a predictor of DBP-FPs, SAC</w:t>
      </w:r>
      <w:r>
        <w:rPr>
          <w:vertAlign w:val="subscript"/>
        </w:rPr>
        <w:t xml:space="preserve">254</w:t>
      </w:r>
      <w:r>
        <w:t xml:space="preserve"> </w:t>
      </w:r>
      <w:r>
        <w:t xml:space="preserve">was better correlated than SUVA</w:t>
      </w:r>
      <w:r>
        <w:rPr>
          <w:vertAlign w:val="subscript"/>
        </w:rPr>
        <w:t xml:space="preserve">254</w:t>
      </w:r>
      <w:r>
        <w:t xml:space="preserve"> </w:t>
      </w:r>
      <w:r>
        <w:t xml:space="preserve">or DOC concentration. These results are in agreement with findings by Chow et al. </w:t>
      </w:r>
      <w:r>
        <w:t xml:space="preserve">(</w:t>
      </w:r>
      <w:hyperlink w:anchor="ref-Chow2008">
        <w:r>
          <w:rPr>
            <w:rStyle w:val="Hyperlink"/>
          </w:rPr>
          <w:t xml:space="preserve">2008</w:t>
        </w:r>
      </w:hyperlink>
      <w:r>
        <w:t xml:space="preserve">)</w:t>
      </w:r>
      <w:r>
        <w:t xml:space="preserve">, and clarified that SAC</w:t>
      </w:r>
      <w:r>
        <w:rPr>
          <w:vertAlign w:val="subscript"/>
        </w:rPr>
        <w:t xml:space="preserve">254</w:t>
      </w:r>
      <w:r>
        <w:t xml:space="preserve"> </w:t>
      </w:r>
      <w:r>
        <w:t xml:space="preserve">should be used as an indicator of NOM reactivity with respect to DBP-FP, rather than SUVA</w:t>
      </w:r>
      <w:r>
        <w:rPr>
          <w:vertAlign w:val="subscript"/>
        </w:rPr>
        <w:t xml:space="preserve">254</w:t>
      </w:r>
      <w:r>
        <w:t xml:space="preserve">.</w:t>
      </w:r>
    </w:p>
    <w:p>
      <w:pPr>
        <w:pStyle w:val="BodyText"/>
      </w:pPr>
      <w:r>
        <w:t xml:space="preserve"> </w:t>
      </w:r>
    </w:p>
    <w:p>
      <w:pPr>
        <w:pStyle w:val="Heading2"/>
      </w:pPr>
      <w:bookmarkStart w:id="69" w:name="Xd426a99643994faa7fab8186bd0622a7d3e83db"/>
      <w:r>
        <w:t xml:space="preserve">Spatial and Temporal Patterns in NOM Quantity and Quality Across the Greater Victoria Water Supply Areas</w:t>
      </w:r>
      <w:bookmarkEnd w:id="69"/>
    </w:p>
    <w:p>
      <w:pPr>
        <w:pStyle w:val="FirstParagraph"/>
      </w:pPr>
      <w:r>
        <w:t xml:space="preserve"> </w:t>
      </w:r>
    </w:p>
    <w:p>
      <w:pPr>
        <w:pStyle w:val="Heading3"/>
      </w:pPr>
      <w:bookmarkStart w:id="70" w:name="synopsis"/>
      <w:r>
        <w:t xml:space="preserve">Synopsis</w:t>
      </w:r>
      <w:bookmarkEnd w:id="70"/>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(including the influence of seasonality) of natural organic matter (NOM) quantity and molecular quality.</w:t>
      </w:r>
    </w:p>
    <w:p>
      <w:pPr>
        <w:pStyle w:val="BodyText"/>
      </w:pPr>
      <w:r>
        <w:t xml:space="preserve"> </w:t>
      </w:r>
    </w:p>
    <w:p>
      <w:pPr>
        <w:pStyle w:val="Heading3"/>
      </w:pPr>
      <w:bookmarkStart w:id="71" w:name="methods"/>
      <w:r>
        <w:t xml:space="preserve">Methods</w:t>
      </w:r>
      <w:bookmarkEnd w:id="71"/>
    </w:p>
    <w:p>
      <w:pPr>
        <w:pStyle w:val="FirstParagraph"/>
      </w:pPr>
      <w:r>
        <w:t xml:space="preserve">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 xml:space="preserve">254</w:t>
      </w:r>
      <w:r>
        <w:t xml:space="preserve"> </w:t>
      </w:r>
      <w:r>
        <w:t xml:space="preserve">(reactivity) and E</w:t>
      </w:r>
      <w:r>
        <w:rPr>
          <w:vertAlign w:val="subscript"/>
        </w:rPr>
        <w:t xml:space="preserve">2</w:t>
      </w:r>
      <w:r>
        <w:t xml:space="preserve">:E</w:t>
      </w:r>
      <w:r>
        <w:rPr>
          <w:vertAlign w:val="subscript"/>
        </w:rPr>
        <w:t xml:space="preserve">3</w:t>
      </w:r>
      <w:r>
        <w:t xml:space="preserve"> </w:t>
      </w:r>
      <w:r>
        <w:t xml:space="preserve">(molecular size and aromaticity).</w:t>
      </w:r>
    </w:p>
    <w:p>
      <w:pPr>
        <w:pStyle w:val="BodyText"/>
      </w:pPr>
      <w:r>
        <w:t xml:space="preserve"> </w:t>
      </w:r>
    </w:p>
    <w:p>
      <w:pPr>
        <w:pStyle w:val="Heading4"/>
      </w:pPr>
      <w:bookmarkStart w:id="72" w:name="spatial-temporal-patterns"/>
      <w:r>
        <w:t xml:space="preserve">Spatial &amp; temporal patterns</w:t>
      </w:r>
      <w:bookmarkEnd w:id="72"/>
    </w:p>
    <w:p>
      <w:pPr>
        <w:pStyle w:val="FirstParagraph"/>
      </w:pPr>
      <w:r>
        <w:t xml:space="preserve">Synoptic sample results were evaluated for spatial patterns by comparing low- to high-order streams, between the Leech and Sooke portions of the GVWSA, and by sampling methods at upstream and downstream sites. To assess temporal patterns, synoptic sampling results were evaluated over the full study period (Oct 2018 to Feb 2020). To detect possible changes in NOM character, the relationship between DOC and SAC</w:t>
      </w:r>
      <w:r>
        <w:rPr>
          <w:vertAlign w:val="subscript"/>
        </w:rPr>
        <w:t xml:space="preserve">254</w:t>
      </w:r>
      <w:r>
        <w:t xml:space="preserve"> </w:t>
      </w:r>
      <w:r>
        <w:t xml:space="preserve">was explored in context of seasons.</w:t>
      </w:r>
    </w:p>
    <w:p>
      <w:pPr>
        <w:pStyle w:val="BodyText"/>
      </w:pPr>
      <w:r>
        <w:t xml:space="preserve"> </w:t>
      </w:r>
    </w:p>
    <w:p>
      <w:pPr>
        <w:pStyle w:val="BodyText"/>
      </w:pPr>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Creek, and three nested catchments above the Leech River Tunnel were examined. The Leech Tunnel is the effective outlet of the Leech WSA, where runoff from each nested catchment is integrated. From a headwater’s perspective, runoff from the sub-basins of Weeks Creek and Chris Creek is integrated at the Leech-head site; and runoff from Jarvis and Lazar Creek sub-basins is integrated at the Cragg Creek site (Figure</w:t>
      </w:r>
      <w:r>
        <w:t xml:space="preserve"> </w:t>
      </w:r>
      <w:r>
        <w:t xml:space="preserve">2</w:t>
      </w:r>
      <w:r>
        <w:t xml:space="preserve">). At each of these three site groupings, results from upstream Grab samples were compared to downstream Rack and Grab sample results combined. Results were compared using Levene’s test for homoscedasticity (homogeneity of variance).</w:t>
      </w:r>
    </w:p>
    <w:p>
      <w:pPr>
        <w:pStyle w:val="BodyText"/>
      </w:pPr>
      <w:r>
        <w:t xml:space="preserve"> </w:t>
      </w:r>
    </w:p>
    <w:p>
      <w:pPr>
        <w:pStyle w:val="BodyText"/>
      </w:pPr>
      <w:r>
        <w:t xml:space="preserve">For shorter scale temporal pattern assessment, rising limb event-based Rack samples from the six monitoring sites in the Leech WSA were compared to non-rising limb sample results (i.e. standard Grab samples). As Vertical Racks only collected samples during the wet season, wet season sample results were isolated and evaluated.</w:t>
      </w:r>
    </w:p>
    <w:p>
      <w:pPr>
        <w:pStyle w:val="BodyText"/>
      </w:pPr>
      <w:r>
        <w:t xml:space="preserve"> </w:t>
      </w:r>
    </w:p>
    <w:p>
      <w:pPr>
        <w:pStyle w:val="Heading3"/>
      </w:pPr>
      <w:bookmarkStart w:id="73" w:name="results"/>
      <w:r>
        <w:t xml:space="preserve">Results</w:t>
      </w:r>
      <w:bookmarkEnd w:id="73"/>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 following quality assurance filtering based on sample hold-times, turbidity and algae</w:t>
      </w:r>
    </w:p>
    <w:tbl>
      <w:tblPr>
        <w:tblStyle w:val="Table"/>
        <w:tblW w:type="pct" w:w="5000.0"/>
        <w:tblLook w:firstRow="1"/>
        <w:tblCaption w:val="Table 8: Summary of samples collected, and number included in data analysis following quality assurance filtering based on sample hold-times, turbidity and algae"/>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Mean DOC across the GVWSA was 6.1 mg/L (± 43%), which included the rising limb samples collected in the Leech WSA. This average concentration was similar to Malcolm Knapp Research Forest, near Maple Ridge on the lower mainland (near Vancouver, BC), where a forested basin (0.97 km</w:t>
      </w:r>
      <w:r>
        <w:rPr>
          <w:vertAlign w:val="superscript"/>
        </w:rPr>
        <w:t xml:space="preserve">2</w:t>
      </w:r>
      <w:r>
        <w:t xml:space="preserve">) had a mean baseflow DOC concentration of approximately 4.5 mg/L with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74" w:name="X5df29f0d072217184f9d2c3d489d6e7d9af746b"/>
      <w:r>
        <w:t xml:space="preserve">Spatial patterns in NOM quantity and quality</w:t>
      </w:r>
      <w:bookmarkEnd w:id="74"/>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w:t>
      </w:r>
      <w:r>
        <w:rPr>
          <w:i/>
        </w:rPr>
        <w:t xml:space="preserve">n</w:t>
      </w:r>
      <w:r>
        <w:t xml:space="preserve"> </w:t>
      </w:r>
      <w:r>
        <w:t xml:space="preserve">= 49) and 9.7 mg/L (</w:t>
      </w:r>
      <w:r>
        <w:rPr>
          <w:i/>
        </w:rPr>
        <w:t xml:space="preserve">n</w:t>
      </w:r>
      <w:r>
        <w:t xml:space="preserve"> </w:t>
      </w:r>
      <w:r>
        <w:t xml:space="preserve">= 12), respectively). The lowest DOC concentrations were recorded at the sampling sites of the Rithet Creek sub-basin (11.12 km</w:t>
      </w:r>
      <w:r>
        <w:rPr>
          <w:vertAlign w:val="superscript"/>
        </w:rPr>
        <w:t xml:space="preserve">2</w:t>
      </w:r>
      <w:r>
        <w:t xml:space="preserve">) and the Leech Tunnel sub-basin (95.3 km</w:t>
      </w:r>
      <w:r>
        <w:rPr>
          <w:vertAlign w:val="superscript"/>
        </w:rPr>
        <w:t xml:space="preserve">2</w:t>
      </w:r>
      <w:r>
        <w:t xml:space="preserve">) and their means (5.4 mg/L (</w:t>
      </w:r>
      <w:r>
        <w:rPr>
          <w:i/>
        </w:rPr>
        <w:t xml:space="preserve">n</w:t>
      </w:r>
      <w:r>
        <w:t xml:space="preserve"> </w:t>
      </w:r>
      <w:r>
        <w:t xml:space="preserve">= 13) and 4.8 mg/L (</w:t>
      </w:r>
      <w:r>
        <w:rPr>
          <w:i/>
        </w:rPr>
        <w:t xml:space="preserve">n</w:t>
      </w:r>
      <w:r>
        <w:t xml:space="preserve"> </w:t>
      </w:r>
      <w:r>
        <w:t xml:space="preserve">= 64), respectively) were not unlike other streams of 3rd order or above (overall average 5.18 mg/L). The greatest range in DOC concentrations was measured at the Rithet Creek site which had a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(a monitoring site) was more heavily sampled (</w:t>
      </w:r>
      <w:r>
        <w:rPr>
          <w:i/>
        </w:rPr>
        <w:t xml:space="preserve">n</w:t>
      </w:r>
      <w:r>
        <w:t xml:space="preserve"> </w:t>
      </w:r>
      <w:r>
        <w:t xml:space="preserve">= 57) than Rithet (</w:t>
      </w:r>
      <w:r>
        <w:rPr>
          <w:i/>
        </w:rPr>
        <w:t xml:space="preserve">n</w:t>
      </w:r>
      <w:r>
        <w:t xml:space="preserve"> </w:t>
      </w:r>
      <w:r>
        <w:t xml:space="preserve">= 13), which was a synoptic sampling site alone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25"/>
        <w:gridCol w:w="2344"/>
        <w:gridCol w:w="208"/>
        <w:gridCol w:w="833"/>
        <w:gridCol w:w="364"/>
        <w:gridCol w:w="937"/>
        <w:gridCol w:w="833"/>
        <w:gridCol w:w="937"/>
        <w:gridCol w:w="833"/>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Mean DOC concentrations were similar between the Sooke WSA main tributaries to Sooke Reservoir: Judge Creek (5.7 ± 1.1 mg/L,</w:t>
      </w:r>
      <w:r>
        <w:t xml:space="preserve"> </w:t>
      </w:r>
      <w:r>
        <w:rPr>
          <w:i/>
        </w:rPr>
        <w:t xml:space="preserve">n</w:t>
      </w:r>
      <w:r>
        <w:t xml:space="preserve"> </w:t>
      </w:r>
      <w:r>
        <w:t xml:space="preserve">= 6) and Rithet Creek (5.4 ± 3.9 mg/L,</w:t>
      </w:r>
      <w:r>
        <w:t xml:space="preserve"> </w:t>
      </w:r>
      <w:r>
        <w:rPr>
          <w:i/>
        </w:rPr>
        <w:t xml:space="preserve">n</w:t>
      </w:r>
      <w:r>
        <w:t xml:space="preserve"> </w:t>
      </w:r>
      <w:r>
        <w:t xml:space="preserve">= 13). Though these three sites were sampled over the same span of time, the number of samples collected at the Tunnel (</w:t>
      </w:r>
      <w:r>
        <w:rPr>
          <w:i/>
        </w:rPr>
        <w:t xml:space="preserve">n</w:t>
      </w:r>
      <w:r>
        <w:t xml:space="preserve"> </w:t>
      </w:r>
      <w:r>
        <w:t xml:space="preserve">= 64) was much greater due to less intense focus on the Sooke WSA and Vertical Rack sampling at the Leech Tunnel. Therefore, only overlapping sample dates were evaluated between these three sites to facilitate a preliminary WSA comparison between Sooke WSA main tributaries and the future supplemental supply (Table</w:t>
      </w:r>
      <w:r>
        <w:t xml:space="preserve"> </w:t>
      </w:r>
      <w:r>
        <w:t xml:space="preserve">10</w:t>
      </w:r>
      <w:r>
        <w:t xml:space="preserve">). Mean DOC was similar between Rithet Creek (3.2 ± 1.4 mg/L,</w:t>
      </w:r>
      <w:r>
        <w:t xml:space="preserve"> </w:t>
      </w:r>
      <w:r>
        <w:rPr>
          <w:i/>
        </w:rPr>
        <w:t xml:space="preserve">n</w:t>
      </w:r>
      <w:r>
        <w:t xml:space="preserve"> </w:t>
      </w:r>
      <w:r>
        <w:t xml:space="preserve">= 8) and the Leech Tunnel (3.7 ± 1.1 mg/L,</w:t>
      </w:r>
      <w:r>
        <w:t xml:space="preserve"> </w:t>
      </w:r>
      <w:r>
        <w:rPr>
          <w:i/>
        </w:rPr>
        <w:t xml:space="preserve">n</w:t>
      </w:r>
      <w:r>
        <w:t xml:space="preserve"> </w:t>
      </w:r>
      <w:r>
        <w:t xml:space="preserve">= 9), but higher at Judge Creek (5.7 ± 1.1 mg/L,</w:t>
      </w:r>
      <w:r>
        <w:t xml:space="preserve"> </w:t>
      </w:r>
      <w:r>
        <w:rPr>
          <w:i/>
        </w:rPr>
        <w:t xml:space="preserve">n</w:t>
      </w:r>
      <w:r>
        <w:t xml:space="preserve"> </w:t>
      </w:r>
      <w:r>
        <w:t xml:space="preserve">= 6).</w:t>
      </w:r>
    </w:p>
    <w:p>
      <w:pPr>
        <w:pStyle w:val="BodyText"/>
      </w:pPr>
      <w:r>
        <w:t xml:space="preserve"> </w:t>
      </w:r>
    </w:p>
    <w:p>
      <w:pPr>
        <w:pStyle w:val="TableCaption"/>
      </w:pPr>
      <w:r>
        <w:t xml:space="preserve">Table 10: Comparing dissolved organic carbon concentrations (DOC) among synoptic grab samples collected on the same day at three sites in the Greater Victoria Water Supply Area: two main tributarites to Sooke Reservoir and the Leech River at the Tunnel</w:t>
      </w:r>
    </w:p>
    <w:tbl>
      <w:tblPr>
        <w:tblStyle w:val="Table"/>
        <w:tblW w:type="pct" w:w="5000.0"/>
        <w:tblLook w:firstRow="1"/>
        <w:tblCaption w:val="Table 10: Comparing dissolved organic carbon concentrations (DOC) among synoptic grab samples collected on the same day at three sites in the Greater Victoria Water Supply Area: two main tributarites to Sooke Reservoir and the Leech River at the Tunnel"/>
      </w:tblPr>
      <w:tblGrid>
        <w:gridCol w:w="605"/>
        <w:gridCol w:w="2145"/>
        <w:gridCol w:w="165"/>
        <w:gridCol w:w="880"/>
        <w:gridCol w:w="385"/>
        <w:gridCol w:w="990"/>
        <w:gridCol w:w="880"/>
        <w:gridCol w:w="990"/>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9</w:t>
            </w:r>
          </w:p>
        </w:tc>
        <w:tc>
          <w:p>
            <w:pPr>
              <w:pStyle w:val="Compact"/>
              <w:jc w:val="right"/>
            </w:pPr>
            <w:r>
              <w:t xml:space="preserve">3.7</w:t>
            </w:r>
          </w:p>
        </w:tc>
        <w:tc>
          <w:p>
            <w:pPr>
              <w:pStyle w:val="Compact"/>
              <w:jc w:val="right"/>
            </w:pPr>
            <w:r>
              <w:t xml:space="preserve">1.1</w:t>
            </w:r>
          </w:p>
        </w:tc>
        <w:tc>
          <w:p>
            <w:pPr>
              <w:pStyle w:val="Compact"/>
              <w:jc w:val="right"/>
            </w:pPr>
            <w:r>
              <w:t xml:space="preserve">29</w:t>
            </w:r>
          </w:p>
        </w:tc>
        <w:tc>
          <w:p>
            <w:pPr>
              <w:pStyle w:val="Compact"/>
              <w:jc w:val="right"/>
            </w:pPr>
            <w:r>
              <w:t xml:space="preserve">1.74</w:t>
            </w:r>
          </w:p>
        </w:tc>
        <w:tc>
          <w:p>
            <w:pPr>
              <w:pStyle w:val="Compact"/>
              <w:jc w:val="right"/>
            </w:pPr>
            <w:r>
              <w:t xml:space="preserve">3.7</w:t>
            </w:r>
          </w:p>
        </w:tc>
        <w:tc>
          <w:p>
            <w:pPr>
              <w:pStyle w:val="Compact"/>
              <w:jc w:val="right"/>
            </w:pPr>
            <w:r>
              <w:t xml:space="preserve">5.3</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8</w:t>
            </w:r>
          </w:p>
        </w:tc>
        <w:tc>
          <w:p>
            <w:pPr>
              <w:pStyle w:val="Compact"/>
              <w:jc w:val="right"/>
            </w:pPr>
            <w:r>
              <w:t xml:space="preserve">3.2</w:t>
            </w:r>
          </w:p>
        </w:tc>
        <w:tc>
          <w:p>
            <w:pPr>
              <w:pStyle w:val="Compact"/>
              <w:jc w:val="right"/>
            </w:pPr>
            <w:r>
              <w:t xml:space="preserve">1.4</w:t>
            </w:r>
          </w:p>
        </w:tc>
        <w:tc>
          <w:p>
            <w:pPr>
              <w:pStyle w:val="Compact"/>
              <w:jc w:val="right"/>
            </w:pPr>
            <w:r>
              <w:t xml:space="preserve">44</w:t>
            </w:r>
          </w:p>
        </w:tc>
        <w:tc>
          <w:p>
            <w:pPr>
              <w:pStyle w:val="Compact"/>
              <w:jc w:val="right"/>
            </w:pPr>
            <w:r>
              <w:t xml:space="preserve">1.64</w:t>
            </w:r>
          </w:p>
        </w:tc>
        <w:tc>
          <w:p>
            <w:pPr>
              <w:pStyle w:val="Compact"/>
              <w:jc w:val="right"/>
            </w:pPr>
            <w:r>
              <w:t xml:space="preserve">2.8</w:t>
            </w:r>
          </w:p>
        </w:tc>
        <w:tc>
          <w:p>
            <w:pPr>
              <w:pStyle w:val="Compact"/>
              <w:jc w:val="right"/>
            </w:pPr>
            <w:r>
              <w:t xml:space="preserve">6.3</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bl>
    <w:p>
      <w:pPr>
        <w:pStyle w:val="BodyText"/>
      </w:pPr>
      <w:r>
        <w:t xml:space="preserve"> </w:t>
      </w:r>
    </w:p>
    <w:p>
      <w:pPr>
        <w:pStyle w:val="BodyText"/>
      </w:pPr>
      <w:r>
        <w:t xml:space="preserve">Spatially, DOC generally decreased from low-order headwater streams to higher-order downstream sites (Figure</w:t>
      </w:r>
      <w:r>
        <w:t xml:space="preserve"> </w:t>
      </w:r>
      <w:r>
        <w:t xml:space="preserve">10</w:t>
      </w:r>
      <w:r>
        <w:t xml:space="preserve">). Like DOC concentration, there was an overall reduction in aromaticity, reactivity, and molecular size of NOM from upstream to downstream sites (Table</w:t>
      </w:r>
      <w:r>
        <w:t xml:space="preserve"> </w:t>
      </w:r>
      <w:r>
        <w:t xml:space="preserve">11</w:t>
      </w:r>
      <w:r>
        <w:t xml:space="preserve">, Figure</w:t>
      </w:r>
      <w:r>
        <w:t xml:space="preserve"> </w:t>
      </w:r>
      <w:r>
        <w:t xml:space="preserve">10</w:t>
      </w:r>
      <w:r>
        <w:t xml:space="preserve">). The greatest diversity in NOM reactivity, measured by SAC</w:t>
      </w:r>
      <w:r>
        <w:rPr>
          <w:vertAlign w:val="subscript"/>
        </w:rPr>
        <w:t xml:space="preserve">254</w:t>
      </w:r>
      <w:r>
        <w:t xml:space="preserve">, were recorded in headwater samples from Chris Creek (50% RSD), Jarvis Creek (47% RSD) and Lazar Creek (45% RSD). The site with the greatest average reactivity, aromaticity and molecular weight NOM was Weeks Creek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4.3 ± 0.2).</w:t>
      </w:r>
    </w:p>
    <w:p>
      <w:pPr>
        <w:pStyle w:val="BodyText"/>
      </w:pPr>
      <w:r>
        <w:t xml:space="preserve"> </w:t>
      </w:r>
    </w:p>
    <w:p>
      <w:pPr>
        <w:pStyle w:val="BodyText"/>
      </w:pPr>
      <w:r>
        <w:t xml:space="preserve">The lowest absolute measurement for NOM aromaticity, molecular size and reactivity occurred at the Cragg Creek site (maximum E</w:t>
      </w:r>
      <w:r>
        <w:rPr>
          <w:vertAlign w:val="subscript"/>
        </w:rPr>
        <w:t xml:space="preserve">2</w:t>
      </w:r>
      <w:r>
        <w:t xml:space="preserve">:E</w:t>
      </w:r>
      <w:r>
        <w:rPr>
          <w:vertAlign w:val="subscript"/>
        </w:rPr>
        <w:t xml:space="preserve">3</w:t>
      </w:r>
      <w:r>
        <w:t xml:space="preserve"> </w:t>
      </w:r>
      <w:r>
        <w:t xml:space="preserve">of 5.03, minimum SAC</w:t>
      </w:r>
      <w:r>
        <w:rPr>
          <w:vertAlign w:val="subscript"/>
        </w:rPr>
        <w:t xml:space="preserve">254</w:t>
      </w:r>
      <w:r>
        <w:t xml:space="preserve"> </w:t>
      </w:r>
      <w:r>
        <w:t xml:space="preserve">4.69 m</w:t>
      </w:r>
      <w:r>
        <w:rPr>
          <w:vertAlign w:val="superscript"/>
        </w:rPr>
        <w:t xml:space="preserve">-1</w:t>
      </w:r>
      <w:r>
        <w:t xml:space="preserve">). Cragg Creek also had among the lowest mean aromaticity and molecular weight NOM (E</w:t>
      </w:r>
      <w:r>
        <w:rPr>
          <w:vertAlign w:val="subscript"/>
        </w:rPr>
        <w:t xml:space="preserve">2</w:t>
      </w:r>
      <w:r>
        <w:t xml:space="preserve">:E</w:t>
      </w:r>
      <w:r>
        <w:rPr>
          <w:vertAlign w:val="subscript"/>
        </w:rPr>
        <w:t xml:space="preserve">3</w:t>
      </w:r>
      <w:r>
        <w:t xml:space="preserve"> </w:t>
      </w:r>
      <w:r>
        <w:t xml:space="preserve">of 4.59 ± 0.22), though it was very similar to Judge Creek (E</w:t>
      </w:r>
      <w:r>
        <w:rPr>
          <w:vertAlign w:val="subscript"/>
        </w:rPr>
        <w:t xml:space="preserve">2</w:t>
      </w:r>
      <w:r>
        <w:t xml:space="preserve">:E</w:t>
      </w:r>
      <w:r>
        <w:rPr>
          <w:vertAlign w:val="subscript"/>
        </w:rPr>
        <w:t xml:space="preserve">3</w:t>
      </w:r>
      <w:r>
        <w:t xml:space="preserve"> </w:t>
      </w:r>
      <w:r>
        <w:t xml:space="preserve">of 4.59 ± 0.05). Unlike Cragg Creek’s low aromaticity and molecular weight NOM, it’s headwater sites (Jarvis and Lazar) had samples with highly aromatic and reactive NOM character. Jarvis Creek had the most reactive NOM sample (max SAC</w:t>
      </w:r>
      <w:r>
        <w:rPr>
          <w:vertAlign w:val="subscript"/>
        </w:rPr>
        <w:t xml:space="preserve">254</w:t>
      </w:r>
      <w:r>
        <w:t xml:space="preserve"> </w:t>
      </w:r>
      <w:r>
        <w:t xml:space="preserve">41.7 m</w:t>
      </w:r>
      <w:r>
        <w:rPr>
          <w:vertAlign w:val="superscript"/>
        </w:rPr>
        <w:t xml:space="preserve">-1</w:t>
      </w:r>
      <w:r>
        <w:t xml:space="preserve">) and the other headwater creek in Cragg basin, Lazar Creek, had one of the most aromatic samples of all (lowest recorded E</w:t>
      </w:r>
      <w:r>
        <w:rPr>
          <w:vertAlign w:val="subscript"/>
        </w:rPr>
        <w:t xml:space="preserve">2</w:t>
      </w:r>
      <w:r>
        <w:t xml:space="preserve">:E</w:t>
      </w:r>
      <w:r>
        <w:rPr>
          <w:vertAlign w:val="subscript"/>
        </w:rPr>
        <w:t xml:space="preserve">3</w:t>
      </w:r>
      <w:r>
        <w:t xml:space="preserve">, 3.77). Lazar Creek sub-basin had the greatest proportion of wetlands (12% by area), and had the greatest range in NOM aromaticity and molecular size (E</w:t>
      </w:r>
      <w:r>
        <w:rPr>
          <w:vertAlign w:val="subscript"/>
        </w:rPr>
        <w:t xml:space="preserve">2</w:t>
      </w:r>
      <w:r>
        <w:t xml:space="preserve">:E</w:t>
      </w:r>
      <w:r>
        <w:rPr>
          <w:vertAlign w:val="subscript"/>
        </w:rPr>
        <w:t xml:space="preserve">3</w:t>
      </w:r>
      <w:r>
        <w:t xml:space="preserve"> </w:t>
      </w:r>
      <w:r>
        <w:t xml:space="preserve">values with 9% RSD); despite having one of the most aromatic samples of all, Lazar Creek also had the lowest average aromatic NOM (Table</w:t>
      </w:r>
      <w:r>
        <w:t xml:space="preserve"> </w:t>
      </w:r>
      <w:r>
        <w:t xml:space="preserve">11</w:t>
      </w:r>
      <w:r>
        <w:t xml:space="preserve">, Figure</w:t>
      </w:r>
      <w:r>
        <w:t xml:space="preserve"> </w:t>
      </w:r>
      <w:r>
        <w:t xml:space="preserve">10</w:t>
      </w:r>
      <w:r>
        <w:t xml:space="preserve">). Algae blooms were observed in the dry-season and early wet season (Appendix A2) in Jarvis Creek, Lazar Creek and Cragg Creek, as well as other small streams draining the east side of Survey Mountain (the ridge separating Leech River headwater sub-basins from Cragg Creek headwater sub-basins).</w:t>
      </w:r>
    </w:p>
    <w:p>
      <w:pPr>
        <w:pStyle w:val="BodyText"/>
      </w:pPr>
      <w:r>
        <w:t xml:space="preserve"> </w:t>
      </w:r>
    </w:p>
    <w:p>
      <w:pPr>
        <w:pStyle w:val="TableCaption"/>
      </w:pPr>
      <w:r>
        <w:t xml:space="preserve">Table 11: Spectral properties of natural organic matter (NOM) character across twelve synoptically sampled sites in the Greater Victoria Water Supply Area</w:t>
      </w:r>
    </w:p>
    <w:tbl>
      <w:tblPr>
        <w:tblStyle w:val="Table"/>
        <w:tblW w:type="pct" w:w="5000.0"/>
        <w:tblLook w:firstRow="1"/>
        <w:tblCaption w:val="Table 11: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10:  Synoptic sampling results of dissolved organic carbon (DOC) concentrations, SAC254 and E2:E3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5"/>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Synoptic sampling results of dissolved organic carbon (DOC) concentrations,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Heading5"/>
      </w:pPr>
      <w:bookmarkStart w:id="76" w:name="sampling-for-variance-method-evaluation"/>
      <w:r>
        <w:t xml:space="preserve">Sampling for variance: method evaluation</w:t>
      </w:r>
      <w:bookmarkEnd w:id="76"/>
    </w:p>
    <w:p>
      <w:pPr>
        <w:pStyle w:val="FirstParagraph"/>
      </w:pPr>
      <w:r>
        <w:t xml:space="preserve">Below the confluence of headwaters sites, the combination of Rack and Grab sampling did not capture the ranges of DOC observed in upstream Grab samples alone. Leech-head, below the confluence of Weeks and Chris Creek, collected DOC concentrations that were close to the average of the two headwaters (Figure</w:t>
      </w:r>
      <w:r>
        <w:t xml:space="preserve"> </w:t>
      </w:r>
      <w:r>
        <w:t xml:space="preserve">11</w:t>
      </w:r>
      <w:r>
        <w:t xml:space="preserve">, plot A); the variance obtained by combining Rack and Grab samples downstream was not the same as upstream Grab sampling (Levene’s test for homoscedasticity p-value = 3.8 x 10</w:t>
      </w:r>
      <w:r>
        <w:rPr>
          <w:vertAlign w:val="superscript"/>
        </w:rPr>
        <w:t xml:space="preserve">-5</w:t>
      </w:r>
      <w:r>
        <w:t xml:space="preserve">). Similarly, Rack and Grab samples collected at Cragg Creek did not cover the same DOC variance as Grab sampling at the headwaters Jarvis and Lazar Creek (Levene’s p-value 0.0011). Unlike Leech-head, which had near-average DOC concentrations relative to its two headwaters, samples collected at Cragg Creek had lower DOC concentrations than either of its headwater sites (Figure</w:t>
      </w:r>
      <w:r>
        <w:t xml:space="preserve"> </w:t>
      </w:r>
      <w:r>
        <w:t xml:space="preserve">11</w:t>
      </w:r>
      <w:r>
        <w:t xml:space="preserve">, plot B). The differences between these two headwater sets can be attributed to different reach lengths between headwaters’ confluence and the downstream monitoring sites; where Leech-head was very close to the headwaters’ confluence and Cragg Creek was considerably further from its headwaters’ sampling locations.</w:t>
      </w:r>
    </w:p>
    <w:p>
      <w:pPr>
        <w:pStyle w:val="BodyText"/>
      </w:pPr>
      <w:r>
        <w:t xml:space="preserve"> </w:t>
      </w:r>
    </w:p>
    <w:p>
      <w:pPr>
        <w:pStyle w:val="BodyText"/>
      </w:pPr>
      <w:r>
        <w:t xml:space="preserve">The combination of Vertical Rack and Grab sampling at the Leech Tunnel captured the same variance in DOC that was observed in standard Grab samples at three upstream sites: Leech-head, Cragg Creek, West Leech (Figure</w:t>
      </w:r>
      <w:r>
        <w:t xml:space="preserve"> </w:t>
      </w:r>
      <w:r>
        <w:t xml:space="preserve">11</w:t>
      </w:r>
      <w:r>
        <w:t xml:space="preserve">, plot C). Levene’s test for homoscedasticity confirmed that there was no difference in DOC variance at the downstream Rack and Grab combination compared to Grab-sampling-only at upstream sub-basins (p-value 0.165). Similar patterns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D).</w:t>
      </w:r>
    </w:p>
    <w:p>
      <w:pPr>
        <w:pStyle w:val="BodyText"/>
      </w:pPr>
      <w:r>
        <w:t xml:space="preserve"> </w:t>
      </w:r>
    </w:p>
    <w:p>
      <w:pPr>
        <w:pStyle w:val="CaptionedFigure"/>
      </w:pPr>
      <w:r>
        <w:drawing>
          <wp:inline>
            <wp:extent cx="5504749" cy="5504749"/>
            <wp:effectExtent b="0" l="0" r="0" t="0"/>
            <wp:docPr descr="Figure 11: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3rd order headwater stream Grab samples; likely due to greater NOM variability at headwater streams.</w:t>
      </w:r>
    </w:p>
    <w:p>
      <w:pPr>
        <w:pStyle w:val="BodyText"/>
      </w:pPr>
      <w:r>
        <w:t xml:space="preserve"> </w:t>
      </w:r>
    </w:p>
    <w:p>
      <w:pPr>
        <w:pStyle w:val="Heading4"/>
      </w:pPr>
      <w:bookmarkStart w:id="78" w:name="temporal-patterns-seasonal-changes"/>
      <w:r>
        <w:t xml:space="preserve">Temporal patterns &amp; seasonal changes</w:t>
      </w:r>
      <w:bookmarkEnd w:id="78"/>
    </w:p>
    <w:p>
      <w:pPr>
        <w:pStyle w:val="FirstParagraph"/>
      </w:pPr>
      <w:r>
        <w:t xml:space="preserve">From Oct 2018 to Feb 2020, DOC concentrations followed similar patterns across the synoptic sampling sites (Figure</w:t>
      </w:r>
      <w:r>
        <w:t xml:space="preserve"> </w:t>
      </w:r>
      <w:r>
        <w:t xml:space="preserve">12</w:t>
      </w:r>
      <w:r>
        <w:t xml:space="preserve">). DOC was highest early in the wet season and progressively decreased through the fall and winter, reaching minimum concentrations at the end of the wet season (in the spring), and progressively increased over the dry season (summer). These patterns appear as a nearly sinusoidal trend in DOC over the sampling seasons (Figure</w:t>
      </w:r>
      <w:r>
        <w:t xml:space="preserve"> </w:t>
      </w:r>
      <w:r>
        <w:t xml:space="preserve">12</w:t>
      </w:r>
      <w:r>
        <w:t xml:space="preserve">).</w:t>
      </w:r>
    </w:p>
    <w:p>
      <w:pPr>
        <w:pStyle w:val="BodyText"/>
      </w:pPr>
      <w:r>
        <w:t xml:space="preserve"> </w:t>
      </w:r>
    </w:p>
    <w:p>
      <w:pPr>
        <w:pStyle w:val="CaptionedFigure"/>
      </w:pPr>
      <w:r>
        <w:drawing>
          <wp:inline>
            <wp:extent cx="5504749" cy="3669832"/>
            <wp:effectExtent b="0" l="0" r="0" t="0"/>
            <wp:docPr descr="Figure 12:  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 Sampling methods are differentiation by point shape, and different colours indicate different sites.</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12</w:t>
      </w:r>
      <w:r>
        <w:t xml:space="preserve">, though it includes this data-sparse period, appears to match with the overall pattern observed in available data. Indeed, in each sampling season, mean monthly DOC at each site was loosely correlated (r ≈ 0.52) to mean monthly air temperature (Figure</w:t>
      </w:r>
      <w:r>
        <w:t xml:space="preserve"> </w:t>
      </w:r>
      <w:r>
        <w:t xml:space="preserve">13</w:t>
      </w:r>
      <w:r>
        <w:t xml:space="preserve">), where low temperatures corresponded to low concentrations, and higher concentrations occurring at higher temperatures.</w:t>
      </w:r>
    </w:p>
    <w:p>
      <w:pPr>
        <w:pStyle w:val="BodyText"/>
      </w:pPr>
      <w:r>
        <w:t xml:space="preserve"> </w:t>
      </w:r>
    </w:p>
    <w:p>
      <w:pPr>
        <w:pStyle w:val="CaptionedFigure"/>
      </w:pPr>
      <w:r>
        <w:drawing>
          <wp:inline>
            <wp:extent cx="5046020" cy="3211103"/>
            <wp:effectExtent b="0" l="0" r="0" t="0"/>
            <wp:docPr descr="Figure 13:  Mean monthly dissolved organic carbon (DOC) concentrations versus mean monthly air temperature at twelve sites across the Greater Victoria Water Supply Area, separated into dry and wet seasons." title="" id="1" name="Picture"/>
            <a:graphic>
              <a:graphicData uri="http://schemas.openxmlformats.org/drawingml/2006/picture">
                <pic:pic>
                  <pic:nvPicPr>
                    <pic:cNvPr descr="R-outputs_UBC-forWater-MSc_HMc/figures/Ch3_DOCvsTemp.png" id="0" name="Picture"/>
                    <pic:cNvPicPr>
                      <a:picLocks noChangeArrowheads="1" noChangeAspect="1"/>
                    </pic:cNvPicPr>
                  </pic:nvPicPr>
                  <pic:blipFill>
                    <a:blip r:embed="rId80"/>
                    <a:stretch>
                      <a:fillRect/>
                    </a:stretch>
                  </pic:blipFill>
                  <pic:spPr bwMode="auto">
                    <a:xfrm>
                      <a:off x="0" y="0"/>
                      <a:ext cx="504602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Mean monthly dissolved organic carbon (DOC) concentrations versus mean monthly air temperature at twelve sites across the Greater Victoria Water Supply Area, separated into dry and wet seasons.</w:t>
      </w:r>
    </w:p>
    <w:p>
      <w:pPr>
        <w:pStyle w:val="BodyText"/>
      </w:pPr>
      <w:r>
        <w:t xml:space="preserve"> </w:t>
      </w:r>
    </w:p>
    <w:p>
      <w:pPr>
        <w:pStyle w:val="BodyText"/>
      </w:pPr>
      <w:r>
        <w:t xml:space="preserve">Despite fluctuation in DOC concentrations over time, there was almost no difference between mean DOC concentrations during the wet and dry seasons (6.13 mg/L compared to 6.14 mg/L, Table</w:t>
      </w:r>
      <w:r>
        <w:t xml:space="preserve"> </w:t>
      </w:r>
      <w:r>
        <w:t xml:space="preserve">12</w:t>
      </w:r>
      <w:r>
        <w:t xml:space="preserve">). However, there were far fewer DOC samples collected in the dry season (</w:t>
      </w:r>
      <w:r>
        <w:rPr>
          <w:i/>
        </w:rPr>
        <w:t xml:space="preserve">n</w:t>
      </w:r>
      <w:r>
        <w:t xml:space="preserve"> </w:t>
      </w:r>
      <w:r>
        <w:t xml:space="preserve">= 55) than during the wet season (</w:t>
      </w:r>
      <w:r>
        <w:rPr>
          <w:i/>
        </w:rPr>
        <w:t xml:space="preserve">n</w:t>
      </w:r>
      <w:r>
        <w:t xml:space="preserve"> </w:t>
      </w:r>
      <w:r>
        <w:t xml:space="preserve">= 311). In a similar ratio, there were fewer spectral NOM characteristic samples collected in the dry season (</w:t>
      </w:r>
      <w:r>
        <w:rPr>
          <w:i/>
        </w:rPr>
        <w:t xml:space="preserve">n</w:t>
      </w:r>
      <w:r>
        <w:t xml:space="preserve"> </w:t>
      </w:r>
      <w:r>
        <w:t xml:space="preserve">= 25) than wet (</w:t>
      </w:r>
      <w:r>
        <w:rPr>
          <w:i/>
        </w:rPr>
        <w:t xml:space="preserve">n</w:t>
      </w:r>
      <w:r>
        <w:t xml:space="preserve"> </w:t>
      </w:r>
      <w:r>
        <w:t xml:space="preserve">= 139). While concentrations remained similar on average over seasons, NOM character was considerably more reactive in the wet season (SAC</w:t>
      </w:r>
      <w:r>
        <w:rPr>
          <w:vertAlign w:val="subscript"/>
        </w:rPr>
        <w:t xml:space="preserve">254</w:t>
      </w:r>
      <w:r>
        <w:t xml:space="preserve"> </w:t>
      </w:r>
      <w:r>
        <w:t xml:space="preserve">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With respect to extreme values, wet season samples contained higher minimum and maximum DOC concentrations and SAC</w:t>
      </w:r>
      <w:r>
        <w:rPr>
          <w:vertAlign w:val="subscript"/>
        </w:rPr>
        <w:t xml:space="preserve">254</w:t>
      </w:r>
      <w:r>
        <w:t xml:space="preserve"> </w:t>
      </w:r>
      <w:r>
        <w:t xml:space="preserve">values (Table</w:t>
      </w:r>
      <w:r>
        <w:t xml:space="preserve"> </w:t>
      </w:r>
      <w:r>
        <w:t xml:space="preserve">12</w:t>
      </w:r>
      <w:r>
        <w:t xml:space="preserve">).</w:t>
      </w:r>
    </w:p>
    <w:p>
      <w:pPr>
        <w:pStyle w:val="BodyText"/>
      </w:pPr>
      <w:r>
        <w:t xml:space="preserve"> </w:t>
      </w:r>
    </w:p>
    <w:p>
      <w:pPr>
        <w:pStyle w:val="TableCaption"/>
      </w:pPr>
      <w:r>
        <w:t xml:space="preserve">Table 12: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2: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BodyText"/>
      </w:pPr>
      <w:r>
        <w:t xml:space="preserve">DOC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14</w:t>
      </w:r>
      <w:r>
        <w:t xml:space="preserve">).</w:t>
      </w:r>
    </w:p>
    <w:p>
      <w:pPr>
        <w:pStyle w:val="BodyText"/>
      </w:pPr>
      <w:r>
        <w:t xml:space="preserve"> </w:t>
      </w:r>
    </w:p>
    <w:p>
      <w:pPr>
        <w:pStyle w:val="CaptionedFigure"/>
      </w:pPr>
      <w:r>
        <w:drawing>
          <wp:inline>
            <wp:extent cx="4128561" cy="4128561"/>
            <wp:effectExtent b="0" l="0" r="0" t="0"/>
            <wp:docPr descr="Figure 14: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81"/>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14</w:t>
      </w:r>
      <w:r>
        <w:t xml:space="preserve">).</w:t>
      </w:r>
    </w:p>
    <w:p>
      <w:pPr>
        <w:pStyle w:val="BodyText"/>
      </w:pPr>
      <w:r>
        <w:t xml:space="preserve"> </w:t>
      </w:r>
    </w:p>
    <w:p>
      <w:pPr>
        <w:pStyle w:val="Heading4"/>
      </w:pPr>
      <w:bookmarkStart w:id="82" w:name="Xe38fb7f46438068ff8eb658455027efb0959564"/>
      <w:r>
        <w:t xml:space="preserve">Leech WSA spatiotemporal patterns and event-based sampling</w:t>
      </w:r>
      <w:bookmarkEnd w:id="82"/>
    </w:p>
    <w:p>
      <w:pPr>
        <w:pStyle w:val="FirstParagraph"/>
      </w:pPr>
      <w:r>
        <w:t xml:space="preserve"> </w:t>
      </w:r>
    </w:p>
    <w:p>
      <w:pPr>
        <w:pStyle w:val="BodyText"/>
      </w:pPr>
      <w:r>
        <w:t xml:space="preserve">Across the six Leech WSA monitoring sites, rising-limb event-based Rack samples contained higher NOM quantities on average than non-rising limb Grab samples (6.8 mg/L compared to 5.2 mg/L DOC; Table</w:t>
      </w:r>
      <w:r>
        <w:t xml:space="preserve"> </w:t>
      </w:r>
      <w:r>
        <w:t xml:space="preserve">13</w:t>
      </w:r>
      <w:r>
        <w:t xml:space="preserve">). Rising limb samples also carried more reactive aromatic NOM (21.37 m</w:t>
      </w:r>
      <w:r>
        <w:rPr>
          <w:vertAlign w:val="superscript"/>
        </w:rPr>
        <w:t xml:space="preserve">-1</w:t>
      </w:r>
      <w:r>
        <w:t xml:space="preserve">) than non-rising limb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reactive NOM compared to non-event flows which had lower concentrations of less reactive NOM. Overall, average wet season DOC was 6.17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13</w:t>
      </w:r>
      <w:r>
        <w:t xml:space="preserve">). With respect to extremes, rising limb streamflow contained greater quantities of NOM with greater reactivity, captured by samples with higher minimum and maximum DOC concentrations and SAC</w:t>
      </w:r>
      <w:r>
        <w:rPr>
          <w:vertAlign w:val="subscript"/>
        </w:rPr>
        <w:t xml:space="preserve">254</w:t>
      </w:r>
      <w:r>
        <w:t xml:space="preserve"> </w:t>
      </w:r>
      <w:r>
        <w:t xml:space="preserve">values (Table 12).</w:t>
      </w:r>
    </w:p>
    <w:p>
      <w:pPr>
        <w:pStyle w:val="BodyText"/>
      </w:pPr>
      <w:r>
        <w:t xml:space="preserve"> </w:t>
      </w:r>
    </w:p>
    <w:p>
      <w:pPr>
        <w:pStyle w:val="TableCaption"/>
      </w:pPr>
      <w:r>
        <w:t xml:space="preserve">Table 13: Wet season NOM quantity (DOC) and reactivity (SAC</w:t>
      </w:r>
      <w:r>
        <w:rPr>
          <w:vertAlign w:val="subscript"/>
        </w:rPr>
        <w:t xml:space="preserve">254</w:t>
      </w:r>
      <w:r>
        <w:t xml:space="preserve">) by sample collection method at six monitoring sites in the Leech water supply area</w:t>
      </w:r>
    </w:p>
    <w:tbl>
      <w:tblPr>
        <w:tblStyle w:val="Table"/>
        <w:tblW w:type="pct" w:w="5000.0"/>
        <w:tblLook w:firstRow="1"/>
        <w:tblCaption w:val="Table 13: Wet season NOM quantity (DOC) and reactivity (SAC254) by sample collection method at six monitoring sites in the Leech water supply area"/>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At all monitoring sites rising-limb Rack samples had higher mean DOC compared to non-rising limb Grab samples (Table</w:t>
      </w:r>
      <w:r>
        <w:t xml:space="preserve"> </w:t>
      </w:r>
      <w:r>
        <w:t xml:space="preserve">14</w:t>
      </w:r>
      <w:r>
        <w:t xml:space="preserve">). Leech-head was the only site where maximum NOM quantity was found in a non-rising-limb sample; at all other sites, peak DOC was obtained on the rising limb of event flows by Rack samplers. Interestingly, rising limb Rack sampling at Weeks Creek captured both the highest and lowest DOC concentrations (minimum of 3.8 mg/L, maximum of 19.1 mg/L).</w:t>
      </w:r>
    </w:p>
    <w:p>
      <w:pPr>
        <w:pStyle w:val="BodyText"/>
      </w:pPr>
      <w:r>
        <w:t xml:space="preserve"> </w:t>
      </w:r>
    </w:p>
    <w:p>
      <w:pPr>
        <w:pStyle w:val="BodyText"/>
      </w:pPr>
      <w:r>
        <w:t xml:space="preserve">Four of the six monitoring sites had more reactive NOM in on the rising limb than at other sampled flows. Leech-head and Weeks Creek both had slightly less reactivity NOM in rising-limb samples. These two sites also had higher minimum concentration of DOC collected outside of the hydrograph rising limb, by Grab sample (Table</w:t>
      </w:r>
      <w:r>
        <w:t xml:space="preserve"> </w:t>
      </w:r>
      <w:r>
        <w:t xml:space="preserve">14</w:t>
      </w:r>
      <w:r>
        <w:t xml:space="preserve">). Weeks Creek had the greatest quantity of NOM with the most reactive character of all monitoring sites. Weeks had more variable but less reactive NOM moving through the rising limb of event flows (SAC</w:t>
      </w:r>
      <w:r>
        <w:rPr>
          <w:vertAlign w:val="subscript"/>
        </w:rPr>
        <w:t xml:space="preserve">254</w:t>
      </w:r>
      <w:r>
        <w:t xml:space="preserve"> </w:t>
      </w:r>
      <w:r>
        <w:t xml:space="preserve">28.7 m</w:t>
      </w:r>
      <w:r>
        <w:rPr>
          <w:vertAlign w:val="superscript"/>
        </w:rPr>
        <w:t xml:space="preserve">-1</w:t>
      </w:r>
      <w:r>
        <w:t xml:space="preserve"> </w:t>
      </w:r>
      <w:r>
        <w:t xml:space="preserve">± 47%) compared to other flow conditions (33.0 m</w:t>
      </w:r>
      <w:r>
        <w:rPr>
          <w:vertAlign w:val="superscript"/>
        </w:rPr>
        <w:t xml:space="preserve">-1</w:t>
      </w:r>
      <w:r>
        <w:t xml:space="preserve"> </w:t>
      </w:r>
      <w:r>
        <w:t xml:space="preserve">± 9%). A similar pattern was seen downstream at Leech-head, where slightly more variable and less reactive NOM (SAC</w:t>
      </w:r>
      <w:r>
        <w:rPr>
          <w:vertAlign w:val="subscript"/>
        </w:rPr>
        <w:t xml:space="preserve">254</w:t>
      </w:r>
      <w:r>
        <w:t xml:space="preserve"> </w:t>
      </w:r>
      <w:r>
        <w:t xml:space="preserve">24.04 m</w:t>
      </w:r>
      <w:r>
        <w:rPr>
          <w:vertAlign w:val="superscript"/>
        </w:rPr>
        <w:t xml:space="preserve">-1</w:t>
      </w:r>
      <w:r>
        <w:t xml:space="preserve"> </w:t>
      </w:r>
      <w:r>
        <w:t xml:space="preserve">± 26%) occurred in rising limb samples than not (24.92 m</w:t>
      </w:r>
      <w:r>
        <w:rPr>
          <w:vertAlign w:val="superscript"/>
        </w:rPr>
        <w:t xml:space="preserve">-1</w:t>
      </w:r>
      <w:r>
        <w:t xml:space="preserve"> </w:t>
      </w:r>
      <w:r>
        <w:t xml:space="preserve">± 8%). The other monitoring sites showed consistently more reactive NOM with greater variance in rising limb event flows (Table</w:t>
      </w:r>
      <w:r>
        <w:t xml:space="preserve"> </w:t>
      </w:r>
      <w:r>
        <w:t xml:space="preserve">14</w:t>
      </w:r>
      <w:r>
        <w:t xml:space="preserve">).</w:t>
      </w:r>
    </w:p>
    <w:p>
      <w:pPr>
        <w:pStyle w:val="BodyText"/>
      </w:pPr>
      <w:r>
        <w:t xml:space="preserve"> </w:t>
      </w:r>
    </w:p>
    <w:p>
      <w:pPr>
        <w:pStyle w:val="BodyText"/>
      </w:pPr>
      <w:r>
        <w:t xml:space="preserve">The difference observed at the Weeks Creek and Leech-head sites indicate their event hydrograph rising limbs were more dilute in character due to precipitation inputs while inter-event and lowers flows were sustained by water from the Weeks sub-basin wetlands and lake; water that had more aromatic NOM content.</w:t>
      </w:r>
    </w:p>
    <w:p>
      <w:pPr>
        <w:pStyle w:val="BodyText"/>
      </w:pPr>
      <w:r>
        <w:t xml:space="preserve"> </w:t>
      </w:r>
    </w:p>
    <w:p>
      <w:pPr>
        <w:pStyle w:val="BodyText"/>
      </w:pPr>
      <w:r>
        <w:t xml:space="preserve">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14</w:t>
      </w:r>
      <w:r>
        <w:t xml:space="preserve">, Figure</w:t>
      </w:r>
      <w:r>
        <w:t xml:space="preserve"> </w:t>
      </w:r>
      <w:r>
        <w:t xml:space="preserve">15</w:t>
      </w:r>
      <w:r>
        <w:t xml:space="preserve">).</w:t>
      </w:r>
    </w:p>
    <w:p>
      <w:pPr>
        <w:pStyle w:val="BodyText"/>
      </w:pPr>
      <w:r>
        <w:t xml:space="preserve"> </w:t>
      </w:r>
    </w:p>
    <w:p>
      <w:pPr>
        <w:pStyle w:val="TableCaption"/>
      </w:pPr>
      <w:r>
        <w:t xml:space="preserve">Table 14: Wet season stream NOM quantity and quality (as DOC &amp; SAC</w:t>
      </w:r>
      <w:r>
        <w:rPr>
          <w:vertAlign w:val="subscript"/>
        </w:rPr>
        <w:t xml:space="preserve">254</w:t>
      </w:r>
      <w:r>
        <w:t xml:space="preserve">, respectively) by sample collection method at each of six monitoring sites in the Leech watershed</w:t>
      </w:r>
    </w:p>
    <w:tbl>
      <w:tblPr>
        <w:tblStyle w:val="Table"/>
        <w:tblW w:type="pct" w:w="5000.0"/>
        <w:tblLook w:firstRow="1"/>
        <w:tblCaption w:val="Table 14: Wet season stream NOM quantity and quality (as DOC &amp; SAC254, respectively) by sample collection method at each of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Weeks</w:t>
            </w:r>
          </w:p>
        </w:tc>
        <w:tc>
          <w:p>
            <w:pPr>
              <w:pStyle w:val="Compact"/>
              <w:jc w:val="left"/>
            </w:pPr>
            <w:r>
              <w:t xml:space="preserve">overall</w:t>
            </w:r>
          </w:p>
        </w:tc>
        <w:tc>
          <w:p>
            <w:pPr>
              <w:pStyle w:val="Compact"/>
              <w:jc w:val="right"/>
            </w:pPr>
            <w:r>
              <w:t xml:space="preserve">44</w:t>
            </w:r>
          </w:p>
        </w:tc>
        <w:tc>
          <w:p>
            <w:pPr>
              <w:pStyle w:val="Compact"/>
              <w:jc w:val="left"/>
            </w:pPr>
            <w:r>
              <w:t xml:space="preserve">9.89 ± 36%</w:t>
            </w:r>
          </w:p>
        </w:tc>
        <w:tc>
          <w:p>
            <w:pPr>
              <w:pStyle w:val="Compact"/>
              <w:jc w:val="right"/>
            </w:pPr>
            <w:r>
              <w:t xml:space="preserve">3.78</w:t>
            </w:r>
          </w:p>
        </w:tc>
        <w:tc>
          <w:p>
            <w:pPr>
              <w:pStyle w:val="Compact"/>
              <w:jc w:val="right"/>
            </w:pPr>
            <w:r>
              <w:t xml:space="preserve">9.44</w:t>
            </w:r>
          </w:p>
        </w:tc>
        <w:tc>
          <w:p>
            <w:pPr>
              <w:pStyle w:val="Compact"/>
              <w:jc w:val="right"/>
            </w:pPr>
            <w:r>
              <w:t xml:space="preserve">19.07</w:t>
            </w:r>
          </w:p>
        </w:tc>
        <w:tc>
          <w:p>
            <w:pPr>
              <w:pStyle w:val="Compact"/>
              <w:jc w:val="right"/>
            </w:pPr>
            <w:r>
              <w:t xml:space="preserve">44</w:t>
            </w:r>
          </w:p>
        </w:tc>
        <w:tc>
          <w:p>
            <w:pPr>
              <w:pStyle w:val="Compact"/>
              <w:jc w:val="left"/>
            </w:pPr>
            <w:r>
              <w:t xml:space="preserve">31.25 ± 28%</w:t>
            </w:r>
          </w:p>
        </w:tc>
        <w:tc>
          <w:p>
            <w:pPr>
              <w:pStyle w:val="Compact"/>
              <w:jc w:val="right"/>
            </w:pPr>
            <w:r>
              <w:t xml:space="preserve">12.49</w:t>
            </w:r>
          </w:p>
        </w:tc>
        <w:tc>
          <w:p>
            <w:pPr>
              <w:pStyle w:val="Compact"/>
              <w:jc w:val="right"/>
            </w:pPr>
            <w:r>
              <w:t xml:space="preserve">34.37</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ChrisCrk</w:t>
            </w:r>
          </w:p>
        </w:tc>
        <w:tc>
          <w:p>
            <w:pPr>
              <w:pStyle w:val="Compact"/>
              <w:jc w:val="left"/>
            </w:pPr>
            <w:r>
              <w:t xml:space="preserve">overall</w:t>
            </w:r>
          </w:p>
        </w:tc>
        <w:tc>
          <w:p>
            <w:pPr>
              <w:pStyle w:val="Compact"/>
              <w:jc w:val="right"/>
            </w:pPr>
            <w:r>
              <w:t xml:space="preserve">37</w:t>
            </w:r>
          </w:p>
        </w:tc>
        <w:tc>
          <w:p>
            <w:pPr>
              <w:pStyle w:val="Compact"/>
              <w:jc w:val="left"/>
            </w:pPr>
            <w:r>
              <w:t xml:space="preserve">4.8 ± 43%</w:t>
            </w:r>
          </w:p>
        </w:tc>
        <w:tc>
          <w:p>
            <w:pPr>
              <w:pStyle w:val="Compact"/>
              <w:jc w:val="right"/>
            </w:pPr>
            <w:r>
              <w:t xml:space="preserve">1.84</w:t>
            </w:r>
          </w:p>
        </w:tc>
        <w:tc>
          <w:p>
            <w:pPr>
              <w:pStyle w:val="Compact"/>
              <w:jc w:val="right"/>
            </w:pPr>
            <w:r>
              <w:t xml:space="preserve">4.54</w:t>
            </w:r>
          </w:p>
        </w:tc>
        <w:tc>
          <w:p>
            <w:pPr>
              <w:pStyle w:val="Compact"/>
              <w:jc w:val="right"/>
            </w:pPr>
            <w:r>
              <w:t xml:space="preserve">9.16</w:t>
            </w:r>
          </w:p>
        </w:tc>
        <w:tc>
          <w:p>
            <w:pPr>
              <w:pStyle w:val="Compact"/>
              <w:jc w:val="right"/>
            </w:pPr>
            <w:r>
              <w:t xml:space="preserve">37</w:t>
            </w:r>
          </w:p>
        </w:tc>
        <w:tc>
          <w:p>
            <w:pPr>
              <w:pStyle w:val="Compact"/>
              <w:jc w:val="left"/>
            </w:pPr>
            <w:r>
              <w:t xml:space="preserve">14.83 ± 44%</w:t>
            </w:r>
          </w:p>
        </w:tc>
        <w:tc>
          <w:p>
            <w:pPr>
              <w:pStyle w:val="Compact"/>
              <w:jc w:val="right"/>
            </w:pPr>
            <w:r>
              <w:t xml:space="preserve">7.39</w:t>
            </w:r>
          </w:p>
        </w:tc>
        <w:tc>
          <w:p>
            <w:pPr>
              <w:pStyle w:val="Compact"/>
              <w:jc w:val="right"/>
            </w:pPr>
            <w:r>
              <w:t xml:space="preserve">11.41</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LeechHead</w:t>
            </w:r>
          </w:p>
        </w:tc>
        <w:tc>
          <w:p>
            <w:pPr>
              <w:pStyle w:val="Compact"/>
              <w:jc w:val="left"/>
            </w:pPr>
            <w:r>
              <w:t xml:space="preserve">overall</w:t>
            </w:r>
          </w:p>
        </w:tc>
        <w:tc>
          <w:p>
            <w:pPr>
              <w:pStyle w:val="Compact"/>
              <w:jc w:val="right"/>
            </w:pPr>
            <w:r>
              <w:t xml:space="preserve">38</w:t>
            </w:r>
          </w:p>
        </w:tc>
        <w:tc>
          <w:p>
            <w:pPr>
              <w:pStyle w:val="Compact"/>
              <w:jc w:val="left"/>
            </w:pPr>
            <w:r>
              <w:t xml:space="preserve">7.34 ± 24%</w:t>
            </w:r>
          </w:p>
        </w:tc>
        <w:tc>
          <w:p>
            <w:pPr>
              <w:pStyle w:val="Compact"/>
              <w:jc w:val="right"/>
            </w:pPr>
            <w:r>
              <w:t xml:space="preserve">3.95</w:t>
            </w:r>
          </w:p>
        </w:tc>
        <w:tc>
          <w:p>
            <w:pPr>
              <w:pStyle w:val="Compact"/>
              <w:jc w:val="right"/>
            </w:pPr>
            <w:r>
              <w:t xml:space="preserve">7.05</w:t>
            </w:r>
          </w:p>
        </w:tc>
        <w:tc>
          <w:p>
            <w:pPr>
              <w:pStyle w:val="Compact"/>
              <w:jc w:val="right"/>
            </w:pPr>
            <w:r>
              <w:t xml:space="preserve">11.64</w:t>
            </w:r>
          </w:p>
        </w:tc>
        <w:tc>
          <w:p>
            <w:pPr>
              <w:pStyle w:val="Compact"/>
              <w:jc w:val="right"/>
            </w:pPr>
            <w:r>
              <w:t xml:space="preserve">38</w:t>
            </w:r>
          </w:p>
        </w:tc>
        <w:tc>
          <w:p>
            <w:pPr>
              <w:pStyle w:val="Compact"/>
              <w:jc w:val="left"/>
            </w:pPr>
            <w:r>
              <w:t xml:space="preserve">24.52 ± 18%</w:t>
            </w:r>
          </w:p>
        </w:tc>
        <w:tc>
          <w:p>
            <w:pPr>
              <w:pStyle w:val="Compact"/>
              <w:jc w:val="right"/>
            </w:pPr>
            <w:r>
              <w:t xml:space="preserve">11.69</w:t>
            </w:r>
          </w:p>
        </w:tc>
        <w:tc>
          <w:p>
            <w:pPr>
              <w:pStyle w:val="Compact"/>
              <w:jc w:val="right"/>
            </w:pPr>
            <w:r>
              <w:t xml:space="preserve">25.20</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CraggCrk</w:t>
            </w:r>
          </w:p>
        </w:tc>
        <w:tc>
          <w:p>
            <w:pPr>
              <w:pStyle w:val="Compact"/>
              <w:jc w:val="left"/>
            </w:pPr>
            <w:r>
              <w:t xml:space="preserve">overall</w:t>
            </w:r>
          </w:p>
        </w:tc>
        <w:tc>
          <w:p>
            <w:pPr>
              <w:pStyle w:val="Compact"/>
              <w:jc w:val="right"/>
            </w:pPr>
            <w:r>
              <w:t xml:space="preserve">56</w:t>
            </w:r>
          </w:p>
        </w:tc>
        <w:tc>
          <w:p>
            <w:pPr>
              <w:pStyle w:val="Compact"/>
              <w:jc w:val="left"/>
            </w:pPr>
            <w:r>
              <w:t xml:space="preserve">4.76 ± 32%</w:t>
            </w:r>
          </w:p>
        </w:tc>
        <w:tc>
          <w:p>
            <w:pPr>
              <w:pStyle w:val="Compact"/>
              <w:jc w:val="right"/>
            </w:pPr>
            <w:r>
              <w:t xml:space="preserve">2.58</w:t>
            </w:r>
          </w:p>
        </w:tc>
        <w:tc>
          <w:p>
            <w:pPr>
              <w:pStyle w:val="Compact"/>
              <w:jc w:val="right"/>
            </w:pPr>
            <w:r>
              <w:t xml:space="preserve">4.45</w:t>
            </w:r>
          </w:p>
        </w:tc>
        <w:tc>
          <w:p>
            <w:pPr>
              <w:pStyle w:val="Compact"/>
              <w:jc w:val="right"/>
            </w:pPr>
            <w:r>
              <w:t xml:space="preserve">8.22</w:t>
            </w:r>
          </w:p>
        </w:tc>
        <w:tc>
          <w:p>
            <w:pPr>
              <w:pStyle w:val="Compact"/>
              <w:jc w:val="right"/>
            </w:pPr>
            <w:r>
              <w:t xml:space="preserve">56</w:t>
            </w:r>
          </w:p>
        </w:tc>
        <w:tc>
          <w:p>
            <w:pPr>
              <w:pStyle w:val="Compact"/>
              <w:jc w:val="left"/>
            </w:pPr>
            <w:r>
              <w:t xml:space="preserve">15.36 ± 31%</w:t>
            </w:r>
          </w:p>
        </w:tc>
        <w:tc>
          <w:p>
            <w:pPr>
              <w:pStyle w:val="Compact"/>
              <w:jc w:val="right"/>
            </w:pPr>
            <w:r>
              <w:t xml:space="preserve">8.73</w:t>
            </w:r>
          </w:p>
        </w:tc>
        <w:tc>
          <w:p>
            <w:pPr>
              <w:pStyle w:val="Compact"/>
              <w:jc w:val="right"/>
            </w:pPr>
            <w:r>
              <w:t xml:space="preserve">13.89</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WestLeech</w:t>
            </w:r>
          </w:p>
        </w:tc>
        <w:tc>
          <w:p>
            <w:pPr>
              <w:pStyle w:val="Compact"/>
              <w:jc w:val="left"/>
            </w:pPr>
            <w:r>
              <w:t xml:space="preserve">overall</w:t>
            </w:r>
          </w:p>
        </w:tc>
        <w:tc>
          <w:p>
            <w:pPr>
              <w:pStyle w:val="Compact"/>
              <w:jc w:val="right"/>
            </w:pPr>
            <w:r>
              <w:t xml:space="preserve">52</w:t>
            </w:r>
          </w:p>
        </w:tc>
        <w:tc>
          <w:p>
            <w:pPr>
              <w:pStyle w:val="Compact"/>
              <w:jc w:val="left"/>
            </w:pPr>
            <w:r>
              <w:t xml:space="preserve">5.91 ± 41%</w:t>
            </w:r>
          </w:p>
        </w:tc>
        <w:tc>
          <w:p>
            <w:pPr>
              <w:pStyle w:val="Compact"/>
              <w:jc w:val="right"/>
            </w:pPr>
            <w:r>
              <w:t xml:space="preserve">2.33</w:t>
            </w:r>
          </w:p>
        </w:tc>
        <w:tc>
          <w:p>
            <w:pPr>
              <w:pStyle w:val="Compact"/>
              <w:jc w:val="right"/>
            </w:pPr>
            <w:r>
              <w:t xml:space="preserve">5.62</w:t>
            </w:r>
          </w:p>
        </w:tc>
        <w:tc>
          <w:p>
            <w:pPr>
              <w:pStyle w:val="Compact"/>
              <w:jc w:val="right"/>
            </w:pPr>
            <w:r>
              <w:t xml:space="preserve">10.95</w:t>
            </w:r>
          </w:p>
        </w:tc>
        <w:tc>
          <w:p>
            <w:pPr>
              <w:pStyle w:val="Compact"/>
              <w:jc w:val="right"/>
            </w:pPr>
            <w:r>
              <w:t xml:space="preserve">52</w:t>
            </w:r>
          </w:p>
        </w:tc>
        <w:tc>
          <w:p>
            <w:pPr>
              <w:pStyle w:val="Compact"/>
              <w:jc w:val="left"/>
            </w:pPr>
            <w:r>
              <w:t xml:space="preserve">17.07 ± 32%</w:t>
            </w:r>
          </w:p>
        </w:tc>
        <w:tc>
          <w:p>
            <w:pPr>
              <w:pStyle w:val="Compact"/>
              <w:jc w:val="right"/>
            </w:pPr>
            <w:r>
              <w:t xml:space="preserve">10.24</w:t>
            </w:r>
          </w:p>
        </w:tc>
        <w:tc>
          <w:p>
            <w:pPr>
              <w:pStyle w:val="Compact"/>
              <w:jc w:val="right"/>
            </w:pPr>
            <w:r>
              <w:t xml:space="preserve">16.65</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r>
        <w:tc>
          <w:p>
            <w:pPr>
              <w:pStyle w:val="Compact"/>
              <w:jc w:val="left"/>
            </w:pPr>
            <w:r>
              <w:t xml:space="preserve">Tunnel</w:t>
            </w:r>
          </w:p>
        </w:tc>
        <w:tc>
          <w:p>
            <w:pPr>
              <w:pStyle w:val="Compact"/>
              <w:jc w:val="left"/>
            </w:pPr>
            <w:r>
              <w:t xml:space="preserve">overall</w:t>
            </w:r>
          </w:p>
        </w:tc>
        <w:tc>
          <w:p>
            <w:pPr>
              <w:pStyle w:val="Compact"/>
              <w:jc w:val="right"/>
            </w:pPr>
            <w:r>
              <w:t xml:space="preserve">52</w:t>
            </w:r>
          </w:p>
        </w:tc>
        <w:tc>
          <w:p>
            <w:pPr>
              <w:pStyle w:val="Compact"/>
              <w:jc w:val="left"/>
            </w:pPr>
            <w:r>
              <w:t xml:space="preserve">4.94 ± 34%</w:t>
            </w:r>
          </w:p>
        </w:tc>
        <w:tc>
          <w:p>
            <w:pPr>
              <w:pStyle w:val="Compact"/>
              <w:jc w:val="right"/>
            </w:pPr>
            <w:r>
              <w:t xml:space="preserve">2.19</w:t>
            </w:r>
          </w:p>
        </w:tc>
        <w:tc>
          <w:p>
            <w:pPr>
              <w:pStyle w:val="Compact"/>
              <w:jc w:val="right"/>
            </w:pPr>
            <w:r>
              <w:t xml:space="preserve">4.98</w:t>
            </w:r>
          </w:p>
        </w:tc>
        <w:tc>
          <w:p>
            <w:pPr>
              <w:pStyle w:val="Compact"/>
              <w:jc w:val="right"/>
            </w:pPr>
            <w:r>
              <w:t xml:space="preserve">9.02</w:t>
            </w:r>
          </w:p>
        </w:tc>
        <w:tc>
          <w:p>
            <w:pPr>
              <w:pStyle w:val="Compact"/>
              <w:jc w:val="right"/>
            </w:pPr>
            <w:r>
              <w:t xml:space="preserve">52</w:t>
            </w:r>
          </w:p>
        </w:tc>
        <w:tc>
          <w:p>
            <w:pPr>
              <w:pStyle w:val="Compact"/>
              <w:jc w:val="left"/>
            </w:pPr>
            <w:r>
              <w:t xml:space="preserve">17.74 ± 27%</w:t>
            </w:r>
          </w:p>
        </w:tc>
        <w:tc>
          <w:p>
            <w:pPr>
              <w:pStyle w:val="Compact"/>
              <w:jc w:val="right"/>
            </w:pPr>
            <w:r>
              <w:t xml:space="preserve">11.08</w:t>
            </w:r>
          </w:p>
        </w:tc>
        <w:tc>
          <w:p>
            <w:pPr>
              <w:pStyle w:val="Compact"/>
              <w:jc w:val="right"/>
            </w:pPr>
            <w:r>
              <w:t xml:space="preserve">15.56</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5:  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83"/>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NOM quantity and reactive quality during the wet season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 xml:space="preserve">254</w:t>
      </w:r>
      <w:r>
        <w:t xml:space="preserve">), which indicates aromatic NOM reactivity.</w:t>
      </w:r>
    </w:p>
    <w:p>
      <w:pPr>
        <w:pStyle w:val="BodyText"/>
      </w:pPr>
      <w:r>
        <w:t xml:space="preserve"> </w:t>
      </w:r>
    </w:p>
    <w:p>
      <w:pPr>
        <w:pStyle w:val="Heading3"/>
      </w:pPr>
      <w:bookmarkStart w:id="84" w:name="discussion"/>
      <w:r>
        <w:t xml:space="preserve">Discussion</w:t>
      </w:r>
      <w:bookmarkEnd w:id="84"/>
    </w:p>
    <w:p>
      <w:pPr>
        <w:pStyle w:val="FirstParagraph"/>
      </w:pPr>
      <w:r>
        <w:t xml:space="preserve">Vertical Racks proved important for measuring event-based rising-limb NOM quantity and quality. Rising limb samples had 26% more DOC, on average, than non-rising limb Grab samples.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Based on relative variance between Rack and Grab sample DOC, it seems that hydrologic pulses transported greater quantities of 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pPr>
        <w:pStyle w:val="BodyText"/>
      </w:pPr>
      <w:r>
        <w:t xml:space="preserve"> </w:t>
      </w:r>
    </w:p>
    <w:p>
      <w:pPr>
        <w:pStyle w:val="BodyText"/>
      </w:pPr>
      <w:r>
        <w:t xml:space="preserve">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Heading4"/>
      </w:pPr>
      <w:bookmarkStart w:id="85" w:name="spatial-patterns"/>
      <w:r>
        <w:t xml:space="preserve">Spatial patterns</w:t>
      </w:r>
      <w:bookmarkEnd w:id="85"/>
    </w:p>
    <w:p>
      <w:pPr>
        <w:pStyle w:val="FirstParagraph"/>
      </w:pPr>
      <w:r>
        <w:t xml:space="preserve">Weeks Creek,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In line with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NOM quality and quantity decreased from upstream to downstream sampling sites and there was greater variation in NOM character (i.e. reactivity, aromaticity, molecular size) at the headwater sites than the higher-order streams.</w:t>
      </w:r>
    </w:p>
    <w:p>
      <w:pPr>
        <w:pStyle w:val="BodyText"/>
      </w:pPr>
      <w:r>
        <w:t xml:space="preserve"> </w:t>
      </w:r>
    </w:p>
    <w:p>
      <w:pPr>
        <w:pStyle w:val="BodyText"/>
      </w:pPr>
      <w:r>
        <w:t xml:space="preserve">Data from the West Leech suggests that the pulse shunt concept</w:t>
      </w:r>
      <w:r>
        <w:t xml:space="preserve"> </w:t>
      </w:r>
      <w:r>
        <w:t xml:space="preserve">(Raymond et al.</w:t>
      </w:r>
      <w:r>
        <w:t xml:space="preserve"> </w:t>
      </w:r>
      <w:hyperlink w:anchor="ref-Raymond2016">
        <w:r>
          <w:rPr>
            <w:rStyle w:val="Hyperlink"/>
          </w:rPr>
          <w:t xml:space="preserve">2016</w:t>
        </w:r>
      </w:hyperlink>
      <w:r>
        <w:t xml:space="preserve">)</w:t>
      </w:r>
      <w:r>
        <w:t xml:space="preserve"> </w:t>
      </w:r>
      <w:r>
        <w:t xml:space="preserve">is particularly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sampled sub-basin that did not have metamorphic parent-material (wark gneiss).</w:t>
      </w:r>
    </w:p>
    <w:p>
      <w:pPr>
        <w:pStyle w:val="BodyText"/>
      </w:pPr>
      <w:r>
        <w:t xml:space="preserve"> </w:t>
      </w:r>
    </w:p>
    <w:p>
      <w:pPr>
        <w:pStyle w:val="BodyText"/>
      </w:pPr>
      <w:r>
        <w:t xml:space="preserve">In the Leech Watershed, lower DOC was observed in the streams draining from the eastern portion of the Leech WSA catchment (Cragg and Chris Creeks) and higher DOC was observed in the streams draining from the west (West Leech and Weeks Creek).The difference in subsurface geology in the west and east basins of the Leech WSA may have played an important role in NOM differences, and is explored in Chapter 4.</w:t>
      </w:r>
    </w:p>
    <w:p>
      <w:pPr>
        <w:pStyle w:val="BodyText"/>
      </w:pPr>
      <w:r>
        <w:t xml:space="preserve"> </w:t>
      </w:r>
    </w:p>
    <w:p>
      <w:pPr>
        <w:pStyle w:val="Heading4"/>
      </w:pPr>
      <w:bookmarkStart w:id="86" w:name="temporal-patterns"/>
      <w:r>
        <w:t xml:space="preserve">Temporal patterns</w:t>
      </w:r>
      <w:bookmarkEnd w:id="86"/>
    </w:p>
    <w:p>
      <w:pPr>
        <w:pStyle w:val="FirstParagraph"/>
      </w:pPr>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DOC during cold periods could have been due to intermittent soil frost (observed in the field), where freezing of terrestrial NOM sources effectively locked the source pool and reduced in-stream concentrations. It has also been shown that freezing stream samples reduces DOC concentrations</w:t>
      </w:r>
      <w:r>
        <w:t xml:space="preserve"> </w:t>
      </w:r>
      <w:r>
        <w:t xml:space="preserve">(Fellman, D’Amore, and Hood</w:t>
      </w:r>
      <w:r>
        <w:t xml:space="preserve"> </w:t>
      </w:r>
      <w:hyperlink w:anchor="ref-Fellman2008">
        <w:r>
          <w:rPr>
            <w:rStyle w:val="Hyperlink"/>
          </w:rPr>
          <w:t xml:space="preserve">2008</w:t>
        </w:r>
      </w:hyperlink>
      <w:r>
        <w:t xml:space="preserve">)</w:t>
      </w:r>
      <w:r>
        <w:t xml:space="preserve">. The period of lowest winter DOC in this study also corresponded to low flows and snow accumulation in the GVWSA (particularly the Leech WSA). Laudon et al. </w:t>
      </w:r>
      <w:r>
        <w:t xml:space="preserve">(</w:t>
      </w:r>
      <w:hyperlink w:anchor="ref-Laudon2013">
        <w:r>
          <w:rPr>
            <w:rStyle w:val="Hyperlink"/>
          </w:rPr>
          <w:t xml:space="preserve">2013</w:t>
        </w:r>
      </w:hyperlink>
      <w:r>
        <w:t xml:space="preserve">)</w:t>
      </w:r>
      <w:r>
        <w:t xml:space="preserve"> </w:t>
      </w:r>
      <w:r>
        <w:t xml:space="preserve">found that winter DOC export was positively correlated to mean winter temperature. In agreement, samples from the GVWSA showed positive correlation between mean monthly DOC concentrations and mean monthly air temperatures. Laudon also noted that DOC export was linked to water export, so the low DOC concentrations observed in winter could also have been due to low flows</w:t>
      </w:r>
      <w:r>
        <w:t xml:space="preserve"> </w:t>
      </w:r>
      <w:r>
        <w:t xml:space="preserve">(Laudon et al.</w:t>
      </w:r>
      <w:r>
        <w:t xml:space="preserve"> </w:t>
      </w:r>
      <w:hyperlink w:anchor="ref-Laudon2013">
        <w:r>
          <w:rPr>
            <w:rStyle w:val="Hyperlink"/>
          </w:rPr>
          <w:t xml:space="preserve">2013</w:t>
        </w:r>
      </w:hyperlink>
      <w:r>
        <w:t xml:space="preserve">)</w:t>
      </w:r>
      <w:r>
        <w:t xml:space="preserve">.</w:t>
      </w:r>
    </w:p>
    <w:p>
      <w:pPr>
        <w:pStyle w:val="BodyText"/>
      </w:pPr>
      <w:r>
        <w:t xml:space="preserve"> </w:t>
      </w:r>
    </w:p>
    <w:p>
      <w:pPr>
        <w:pStyle w:val="BodyText"/>
      </w:pPr>
      <w:r>
        <w:t xml:space="preserve">DOC concentrations increased over the summer, reaching highs for the start of the wet season. Overall, there was negligible difference in NOM quantity between seasons; both wet and dry seasons had mean DOC of 6 ± 3 mg/L. Seasonal changes in the relationship between DOC and SAC</w:t>
      </w:r>
      <w:r>
        <w:rPr>
          <w:vertAlign w:val="subscript"/>
        </w:rPr>
        <w:t xml:space="preserve">254</w:t>
      </w:r>
      <w:r>
        <w:t xml:space="preserve"> </w:t>
      </w:r>
      <w:r>
        <w:t xml:space="preserve">were observed across the GVWSA. Aqueous NOM was larger, more aromatic and more reactive during the wet seasons than during the dry season. More aromatic NOM in the wet season was likely sourced from autochthonous terrestrial sources (e.g. humic and fluvic acids), while the less aromatic dry season NOM was probably made up of autochthonous NOM from in-stream processes (e.g. algae). The seasonal shift in NOM quality from autochthonous to allochthonous material was predicted by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The river continuum concept explains temporal changes in NOM character through variable mobilization of source material and biogeochemical processing. Results also supported the pulse shunt concept</w:t>
      </w:r>
      <w:r>
        <w:t xml:space="preserve"> </w:t>
      </w:r>
      <w:r>
        <w:t xml:space="preserve">(Raymond et al.</w:t>
      </w:r>
      <w:r>
        <w:t xml:space="preserve"> </w:t>
      </w:r>
      <w:hyperlink w:anchor="ref-Raymond2016">
        <w:r>
          <w:rPr>
            <w:rStyle w:val="Hyperlink"/>
          </w:rPr>
          <w:t xml:space="preserve">2016</w:t>
        </w:r>
      </w:hyperlink>
      <w:r>
        <w:t xml:space="preserve">)</w:t>
      </w:r>
      <w:r>
        <w:t xml:space="preserve">, in that event samples contained greater quantities of more reactive NOM. Peak values for maximum and minimum DOC concentration and NOM reactivity were measured in samples from the wet season on the rising hydrograph limb. Chapter 4 evaluates the Leech WSA monitoring site data more closely with respect to event-based changes, for a more detailed understanding of relationships between streamflow and NOM transport.</w:t>
      </w:r>
    </w:p>
    <w:p>
      <w:pPr>
        <w:pStyle w:val="BodyText"/>
      </w:pPr>
      <w:r>
        <w:t xml:space="preserve"> </w:t>
      </w:r>
    </w:p>
    <w:p>
      <w:pPr>
        <w:pStyle w:val="BodyText"/>
      </w:pPr>
      <w:r>
        <w:t xml:space="preserve">In general, stream DOC concentrations were higher than the recommended 4 mg/L of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future inter-basin transfers would move Leech River water to a reservoir prior to intake for drinking water treatment, and reservoir dynamics would likely alter the quantity and quality of stream NOM</w:t>
      </w:r>
      <w:r>
        <w:t xml:space="preserve"> </w:t>
      </w:r>
      <w:r>
        <w:t xml:space="preserve">(Stanley et al.</w:t>
      </w:r>
      <w:r>
        <w:t xml:space="preserve"> </w:t>
      </w:r>
      <w:hyperlink w:anchor="ref-Stanley2012">
        <w:r>
          <w:rPr>
            <w:rStyle w:val="Hyperlink"/>
          </w:rPr>
          <w:t xml:space="preserve">2012</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Heading4"/>
      </w:pPr>
      <w:bookmarkStart w:id="87" w:name="spatiotemporal-patterns"/>
      <w:r>
        <w:t xml:space="preserve">Spatiotemporal patterns</w:t>
      </w:r>
      <w:bookmarkEnd w:id="87"/>
    </w:p>
    <w:p>
      <w:pPr>
        <w:pStyle w:val="FirstParagraph"/>
      </w:pPr>
      <w:r>
        <w:t xml:space="preserve">Aside from Weeks Creek,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 xml:space="preserve">2</w:t>
      </w:r>
      <w:r>
        <w:t xml:space="preserve">:E</w:t>
      </w:r>
      <w:r>
        <w:rPr>
          <w:vertAlign w:val="subscript"/>
        </w:rPr>
        <w:t xml:space="preserve">3</w:t>
      </w:r>
      <w:r>
        <w:t xml:space="preserve">) during the dry season and a decrease in the wet season. It was not expected that higher order streams would have larger and more aromatic NOM than lower order streams during the dry season, especially when DOC concentrations showed the opposite pattern. The wet season decrease in NOM aromaticity was expected to occur in tandem with the longitudinal decrease in DOC concentration, due to dilution effects along stream reaches. Similarly, it was expected that aqueous NOM aromaticity would decrease with downstream transport at low flows, due to abiotic and/or biotic oxidation such as photodegradation and/or heterotrophic processing or adsorption</w:t>
      </w:r>
      <w:r>
        <w:t xml:space="preserve"> </w:t>
      </w:r>
      <w:r>
        <w:t xml:space="preserve">(Creed et al.</w:t>
      </w:r>
      <w:r>
        <w:t xml:space="preserve"> </w:t>
      </w:r>
      <w:hyperlink w:anchor="ref-Creed2015">
        <w:r>
          <w:rPr>
            <w:rStyle w:val="Hyperlink"/>
          </w:rPr>
          <w:t xml:space="preserve">2015</w:t>
        </w:r>
      </w:hyperlink>
      <w:r>
        <w:t xml:space="preserve">; Kalbitz et al.</w:t>
      </w:r>
      <w:r>
        <w:t xml:space="preserve"> </w:t>
      </w:r>
      <w:hyperlink w:anchor="ref-Kalbitz2000">
        <w:r>
          <w:rPr>
            <w:rStyle w:val="Hyperlink"/>
          </w:rPr>
          <w:t xml:space="preserve">2000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w:t>
      </w:r>
      <w:r>
        <w:t xml:space="preserve">.</w:t>
      </w:r>
    </w:p>
    <w:p>
      <w:pPr>
        <w:pStyle w:val="BodyText"/>
      </w:pPr>
      <w:r>
        <w:t xml:space="preserve"> </w:t>
      </w:r>
    </w:p>
    <w:p>
      <w:pPr>
        <w:pStyle w:val="BodyText"/>
      </w:pPr>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humic inputs from NOM-rich tributaries feeding higher order streams, or perhaps in-stream microbial processing of terrestrial organic matter (e.g. leaf litter) generated aqueous humic solutes.</w:t>
      </w:r>
    </w:p>
    <w:p>
      <w:pPr>
        <w:pStyle w:val="BodyText"/>
      </w:pPr>
      <w:r>
        <w:t xml:space="preserve"> </w:t>
      </w:r>
    </w:p>
    <w:p>
      <w:pPr>
        <w:pStyle w:val="BodyText"/>
      </w:pPr>
      <w:r>
        <w:t xml:space="preserve">It was possible that UV-Vis interference caused the observed NOM quality pattern – like chromophoric NOM (the target analyte), other dissolved inorganic species (e.g. iron, nitrate, nitrite, bromide) also absorb light at wavelengths around 254 nm</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indices were believed to be unbiased indication of greater NOM aromaticity at lower reaches in the dry months.</w:t>
      </w:r>
    </w:p>
    <w:p>
      <w:pPr>
        <w:pStyle w:val="BodyText"/>
      </w:pPr>
      <w:r>
        <w:t xml:space="preserve"> </w:t>
      </w:r>
    </w:p>
    <w:p>
      <w:pPr>
        <w:pStyle w:val="Heading3"/>
      </w:pPr>
      <w:bookmarkStart w:id="88" w:name="summary-and-future-directions"/>
      <w:r>
        <w:t xml:space="preserve">Summary and future directions</w:t>
      </w:r>
      <w:bookmarkEnd w:id="88"/>
    </w:p>
    <w:p>
      <w:pPr>
        <w:pStyle w:val="FirstParagraph"/>
      </w:pPr>
      <w:r>
        <w:t xml:space="preserve">The objective of this work was to design a sampling strategy to measure the ranges of NOM between adjacent drainage basins and among nested sub-catchments and to evaluate the influence of seasonality on quantity and quality of aqueous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For further comparisons between the Leech and Sooke WSA, it would be informative to install Vertical Racks at the main tributaries to Sooke Reservoir, Rithet and Judge creeks, to compare event-based changes in more detail to Leech River. Expanded comparisons between the Leech Tunnel site, with Rithet and Judge Creeks would be particularly informative if conducted in conjunction with Sooke Reservoir water balance and residence time studies to evaluate changes to riverine source water in a reservoir (e.g. photodegradation of NOM).</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Creek (primary tributary to Sooke Reservoir) and Leech River at the Tunnel is promising from a source water perspective for future supplemental supply from the Leech.</w:t>
      </w:r>
    </w:p>
    <w:p>
      <w:pPr>
        <w:pStyle w:val="BodyText"/>
      </w:pPr>
      <w:r>
        <w:t xml:space="preserve"> </w:t>
      </w:r>
    </w:p>
    <w:p>
      <w:pPr>
        <w:pStyle w:val="Heading2"/>
      </w:pPr>
      <w:bookmarkStart w:id="89" w:name="Xc0aa9e12c65350b528203bb74f7409c5f844d25"/>
      <w:r>
        <w:t xml:space="preserve">Watershed Characteristics and Sampling Conditions as Driving Forces for Aqueous Natural Organic Dynamics Across the Leech River Watershed</w:t>
      </w:r>
      <w:bookmarkEnd w:id="89"/>
    </w:p>
    <w:p>
      <w:pPr>
        <w:pStyle w:val="FirstParagraph"/>
      </w:pPr>
      <w:r>
        <w:t xml:space="preserve"> </w:t>
      </w:r>
    </w:p>
    <w:p>
      <w:pPr>
        <w:pStyle w:val="Heading3"/>
      </w:pPr>
      <w:bookmarkStart w:id="90" w:name="synopsis"/>
      <w:r>
        <w:t xml:space="preserve">Synopsis</w:t>
      </w:r>
      <w:bookmarkEnd w:id="90"/>
    </w:p>
    <w:p>
      <w:pPr>
        <w:pStyle w:val="FirstParagraph"/>
      </w:pPr>
      <w:r>
        <w:t xml:space="preserve">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Results also confirmed that rising limb event-based Rack samples had higher DOC concentrations than non-rising limb samples.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 While seasonality and hydrologic pulses were expected to drive changes in aqueous NOM dynamics, differences in surface and subsurface characteristics among the sub-basins could also be responsible for spatial variation in NOM quantity and quality.</w:t>
      </w:r>
    </w:p>
    <w:p>
      <w:pPr>
        <w:pStyle w:val="BodyText"/>
      </w:pPr>
      <w:r>
        <w:t xml:space="preserve"> </w:t>
      </w:r>
    </w:p>
    <w:p>
      <w:pPr>
        <w:pStyle w:val="BodyText"/>
      </w:pPr>
      <w:r>
        <w:t xml:space="preserve">Of the main tributaries to the Leech River mainstem, Cragg Creek (draining from the east of the Leech WSA) had the lowest average DOC concentration and least aromatic reactive character, while West Leech NOM was higher in DOC concentration and more reactive NOM (Figure</w:t>
      </w:r>
      <w:r>
        <w:t xml:space="preserve"> </w:t>
      </w:r>
      <w:r>
        <w:t xml:space="preserve">16</w:t>
      </w:r>
      <w:r>
        <w:t xml:space="preserve">).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and hydroclimatic conditions to identify variables that best explain differences in NOM quantity and quality across the six monitoring sites in the Leech WSA.</w:t>
      </w:r>
    </w:p>
    <w:p>
      <w:pPr>
        <w:pStyle w:val="BodyText"/>
      </w:pPr>
      <w:r>
        <w:t xml:space="preserve"> </w:t>
      </w:r>
    </w:p>
    <w:p>
      <w:pPr>
        <w:pStyle w:val="Heading3"/>
      </w:pPr>
      <w:bookmarkStart w:id="91" w:name="methods"/>
      <w:r>
        <w:t xml:space="preserve">Methods</w:t>
      </w:r>
      <w:bookmarkEnd w:id="91"/>
    </w:p>
    <w:p>
      <w:pPr>
        <w:pStyle w:val="Heading4"/>
      </w:pPr>
      <w:bookmarkStart w:id="92" w:name="site-details"/>
      <w:r>
        <w:t xml:space="preserve">Site details</w:t>
      </w:r>
      <w:bookmarkEnd w:id="92"/>
    </w:p>
    <w:p>
      <w:pPr>
        <w:pStyle w:val="FirstParagraph"/>
      </w:pPr>
      <w:r>
        <w:t xml:space="preserve">This chapter focuses on the six Leech WSA monitoring sites (Figure</w:t>
      </w:r>
      <w:r>
        <w:t xml:space="preserve"> </w:t>
      </w:r>
      <w:r>
        <w:t xml:space="preserve">16</w:t>
      </w:r>
      <w:r>
        <w:t xml:space="preserve">), which were equipped with Vertical Rack samplers. Nested catchments of the Leech WSA included two headwater streams, Weeks and Chris Creek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Creek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6: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93"/>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are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Creek sub-basin (Table</w:t>
      </w:r>
      <w:r>
        <w:t xml:space="preserve"> </w:t>
      </w:r>
      <w:r>
        <w:t xml:space="preserve">15</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15</w:t>
      </w:r>
      <w:r>
        <w:t xml:space="preserve">). West Leech was characterized by the absence of wark gneiss and chert argillite volcanic parent materials (0%), which were present in all other sub-basins. Both Weeks Creek and West Leech sub-basins were dominated by argillite metagreywacke parent material (64% and 77%, respectively). West Leech was also underlain by metagreywacke (7%) and Metchosin volcanics (16%), which were absent in each of the other monitoring sub-basins. Cragg Creek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Creek and Cragg Creek sub-basins had no metasedimentary parent material of the Leech River Formation.</w:t>
      </w:r>
    </w:p>
    <w:p>
      <w:pPr>
        <w:pStyle w:val="BodyText"/>
      </w:pPr>
      <w:r>
        <w:t xml:space="preserve"> </w:t>
      </w:r>
    </w:p>
    <w:p>
      <w:pPr>
        <w:pStyle w:val="BodyText"/>
      </w:pPr>
      <w:r>
        <w:t xml:space="preserve">At the surface, Weeks Creek sub-basin had the greatest proportion of wetland and open water compared to the other sub-basin sites (Table</w:t>
      </w:r>
      <w:r>
        <w:t xml:space="preserve"> </w:t>
      </w:r>
      <w:r>
        <w:t xml:space="preserve">15</w:t>
      </w:r>
      <w:r>
        <w:t xml:space="preserve">). Cragg Creek sub-basin had the oldest average tree age (59 years). By area, the most heavily harvested basin since 1980 was the Chris Creek sub-basin (63% harvested), then Leech-head and Cragg Creek sub-basins (43% and 41% harvested, respectively). West Leech was the least harvested between 1980 and 2011 (26%), followed by Weeks Creek sub-basin (28% harvested, but is also 7% open water and wetland), followed by the entire Leech Tunnel catchment area (34%).</w:t>
      </w:r>
    </w:p>
    <w:p>
      <w:pPr>
        <w:pStyle w:val="BodyText"/>
      </w:pPr>
      <w:r>
        <w:t xml:space="preserve"> </w:t>
      </w:r>
    </w:p>
    <w:p>
      <w:pPr>
        <w:pStyle w:val="TableCaption"/>
      </w:pPr>
      <w:r>
        <w:t xml:space="preserve">Table 15: Summary of Leech watershed monitoring site sub-basin characteristics. Variables preceded by square brackets indicate sub-surface features of parent material ([PM]) and soil groups ([S]).</w:t>
      </w:r>
    </w:p>
    <w:tbl>
      <w:tblPr>
        <w:tblStyle w:val="Table"/>
        <w:tblW w:type="pct" w:w="5000.0"/>
        <w:tblLook w:firstRow="1"/>
        <w:tblCaption w:val="Table 15: Summary of Leech watershed monitoring site sub-basin characteristic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15</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4" w:name="random-forests"/>
      <w:r>
        <w:t xml:space="preserve">Random Forests</w:t>
      </w:r>
      <w:bookmarkEnd w:id="94"/>
    </w:p>
    <w:p>
      <w:pPr>
        <w:pStyle w:val="FirstParagraph"/>
      </w:pPr>
      <w:r>
        <w:t xml:space="preserve">Breiman’s Random Forests (RF) is a machine learning algorithm which composes a statistical tool for non-parametric regression, prediction, classification and assessment of variable importance</w:t>
      </w:r>
      <w:r>
        <w:t xml:space="preserve"> </w:t>
      </w:r>
      <w:r>
        <w:t xml:space="preserve">(Breiman</w:t>
      </w:r>
      <w:r>
        <w:t xml:space="preserve"> </w:t>
      </w:r>
      <w:hyperlink w:anchor="ref-Breiman2001">
        <w:r>
          <w:rPr>
            <w:rStyle w:val="Hyperlink"/>
          </w:rPr>
          <w:t xml:space="preserve">2001</w:t>
        </w:r>
      </w:hyperlink>
      <w:r>
        <w:t xml:space="preserve">; Strobl, Malley, and Tutz</w:t>
      </w:r>
      <w:r>
        <w:t xml:space="preserve"> </w:t>
      </w:r>
      <w:hyperlink w:anchor="ref-Strobl2009">
        <w:r>
          <w:rPr>
            <w:rStyle w:val="Hyperlink"/>
          </w:rPr>
          <w:t xml:space="preserve">2009</w:t>
        </w:r>
      </w:hyperlink>
      <w:r>
        <w:t xml:space="preserve">)</w:t>
      </w:r>
      <w:r>
        <w:t xml:space="preserve">. RF does not require independence among samples and is unique in its capacity to evaluate variable importance metrics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in RF can be determined by assessing the accuracy of how well the response variable (predictant) is anticipated in the absence or presence of each predictor feature (see Appendix E1 for extended background and details). Through the RF algorithm,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t xml:space="preserve"> </w:t>
      </w:r>
    </w:p>
    <w:p>
      <w:pPr>
        <w:pStyle w:val="Heading5"/>
      </w:pPr>
      <w:bookmarkStart w:id="95" w:name="Xdbf072f9dd4ce108ca202b166b2eb71de070079"/>
      <w:r>
        <w:t xml:space="preserve">Predictor variable refinement and quality assurance</w:t>
      </w:r>
      <w:bookmarkEnd w:id="95"/>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15</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Sampling stages for each site were scaled (min-max-normalized) to account for differences between Vertical Rack installations and to allow for comparison between sites (Equation 1). For antecedent rain and air temperatures, different periods of time were considered in exploratory data analysis. Intervals of 3, 5, 7, 14, 21 and 30 days prior to sample collection were evaluated for cross-correlations and relative VIM results.</w:t>
      </w:r>
    </w:p>
    <w:p>
      <w:pPr>
        <w:pStyle w:val="BodyText"/>
      </w:pPr>
      <w:r>
        <w:t xml:space="preserve"> </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FirstParagraph"/>
      </w:pPr>
      <w:r>
        <w:t xml:space="preserve"> </w:t>
      </w:r>
    </w:p>
    <w:p>
      <w:pPr>
        <w:pStyle w:val="BodyText"/>
      </w:pPr>
      <w:r>
        <w:t xml:space="preserve">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6" w:name="Xaf2e05463635f577d5804c529289485ef3a8cd2"/>
      <w:r>
        <w:t xml:space="preserve">Evaluating local extrema sample stage and DOC</w:t>
      </w:r>
      <w:bookmarkEnd w:id="96"/>
    </w:p>
    <w:p>
      <w:pPr>
        <w:pStyle w:val="FirstParagraph"/>
      </w:pPr>
      <w:r>
        <w:t xml:space="preserve">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7" w:name="X39556df01a469ad8897e62841e12b81dc8c495a"/>
      <w:r>
        <w:t xml:space="preserve">Foundational results of Random Forest refinement</w:t>
      </w:r>
      <w:bookmarkEnd w:id="97"/>
    </w:p>
    <w:p>
      <w:pPr>
        <w:pStyle w:val="FirstParagraph"/>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Creek and West Leech sub-basins, which were also the two sub-basins least harvested since 1980 (Table</w:t>
      </w:r>
      <w:r>
        <w:t xml:space="preserve"> </w:t>
      </w:r>
      <w:r>
        <w:t xml:space="preserve">15</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The length of antecedent periods of 30 days for antecedent rain and 7 days for antecedent air temperature were chosen because (1) they were not cross correlated with other predictor variables or each other and (2) each was more easily distinguished in VIM results than other interval options. 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w:t>
      </w:r>
      <w:r>
        <w:t xml:space="preserve"> </w:t>
      </w:r>
      <w:r>
        <w:t xml:space="preserve">(C. Strobl et al.</w:t>
      </w:r>
      <w:r>
        <w:t xml:space="preserve"> </w:t>
      </w:r>
      <w:hyperlink w:anchor="ref-Strobl2008">
        <w:r>
          <w:rPr>
            <w:rStyle w:val="Hyperlink"/>
          </w:rPr>
          <w:t xml:space="preserve">2008</w:t>
        </w:r>
      </w:hyperlink>
      <w:r>
        <w:t xml:space="preserve">)</w:t>
      </w:r>
      <w:r>
        <w:t xml:space="preserve">,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Heading5"/>
      </w:pPr>
      <w:bookmarkStart w:id="98" w:name="rf-quality-assurance"/>
      <w:r>
        <w:t xml:space="preserve">RF quality assurance</w:t>
      </w:r>
      <w:bookmarkEnd w:id="98"/>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Heading5"/>
      </w:pPr>
      <w:bookmarkStart w:id="99" w:name="rf-variable-groupings"/>
      <w:r>
        <w:t xml:space="preserve">RF variable groupings</w:t>
      </w:r>
      <w:bookmarkEnd w:id="99"/>
    </w:p>
    <w:p>
      <w:pPr>
        <w:pStyle w:val="FirstParagraph"/>
      </w:pPr>
      <w:r>
        <w:t xml:space="preserve">Sub-basin characteristics and conditions were evaluated independently as well as together to see if there was a shift in VIM relative rankings due to the combination of static and dynamic values. It was expected that the relative importance (as a percent) would shift when all predictant variables were combined, due to distribution of importance across a greater number of variables; however,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 E2, Figure</w:t>
      </w:r>
      <w:r>
        <w:t xml:space="preserve"> </w:t>
      </w:r>
      <w:r>
        <w:t xml:space="preserve">39</w:t>
      </w:r>
      <w:r>
        <w:t xml:space="preserve">, for plots of combined predictors). These results suggest that static and dynamic predictor variables should be separated for RF VIM because each type inherently interacts differently with the predictant variable.</w:t>
      </w:r>
    </w:p>
    <w:p>
      <w:pPr>
        <w:pStyle w:val="BodyText"/>
      </w:pPr>
      <w:r>
        <w:t xml:space="preserve"> </w:t>
      </w:r>
    </w:p>
    <w:p>
      <w:pPr>
        <w:pStyle w:val="BodyText"/>
      </w:pPr>
      <w:r>
        <w:t xml:space="preserve">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3"/>
      </w:pPr>
      <w:bookmarkStart w:id="100" w:name="results"/>
      <w:r>
        <w:t xml:space="preserve">Results</w:t>
      </w:r>
      <w:bookmarkEnd w:id="100"/>
    </w:p>
    <w:p>
      <w:pPr>
        <w:pStyle w:val="Heading4"/>
      </w:pPr>
      <w:bookmarkStart w:id="101" w:name="random-forest-variable-importance"/>
      <w:r>
        <w:t xml:space="preserve">Random Forest variable importance</w:t>
      </w:r>
      <w:bookmarkEnd w:id="101"/>
    </w:p>
    <w:p>
      <w:pPr>
        <w:pStyle w:val="Heading5"/>
      </w:pPr>
      <w:bookmarkStart w:id="102" w:name="X34d9df33a2c6abe19c7f8541c728d5d6264b374"/>
      <w:r>
        <w:t xml:space="preserve">Predicting DOC concentration: NOM quantity</w:t>
      </w:r>
      <w:bookmarkEnd w:id="102"/>
    </w:p>
    <w:p>
      <w:pPr>
        <w:pStyle w:val="FirstParagraph"/>
      </w:pPr>
      <w:r>
        <w:t xml:space="preserve">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17</w:t>
      </w:r>
      <w:r>
        <w:t xml:space="preserve">).</w:t>
      </w:r>
    </w:p>
    <w:p>
      <w:pPr>
        <w:pStyle w:val="BodyText"/>
      </w:pPr>
      <w:r>
        <w:t xml:space="preserve"> </w:t>
      </w:r>
    </w:p>
    <w:p>
      <w:pPr>
        <w:pStyle w:val="CaptionedFigure"/>
      </w:pPr>
      <w:r>
        <w:drawing>
          <wp:inline>
            <wp:extent cx="5504749" cy="5504749"/>
            <wp:effectExtent b="0" l="0" r="0" t="0"/>
            <wp:docPr descr="Figure 17: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10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4" w:name="Xa6931945975265bab4d114adc8c1c0bb04c6f81"/>
      <w:r>
        <w:t xml:space="preserve">Predicting SAC</w:t>
      </w:r>
      <w:r>
        <w:rPr>
          <w:vertAlign w:val="subscript"/>
        </w:rPr>
        <w:t xml:space="preserve">254</w:t>
      </w:r>
      <w:r>
        <w:t xml:space="preserve">: aromatic NOM reactivity</w:t>
      </w:r>
      <w:bookmarkEnd w:id="104"/>
    </w:p>
    <w:p>
      <w:pPr>
        <w:pStyle w:val="FirstParagraph"/>
      </w:pPr>
      <w:r>
        <w:t xml:space="preserve">Like DOC,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18</w:t>
      </w:r>
      <w:r>
        <w:t xml:space="preserve">).</w:t>
      </w:r>
    </w:p>
    <w:p>
      <w:pPr>
        <w:pStyle w:val="BodyText"/>
      </w:pPr>
      <w:r>
        <w:t xml:space="preserve"> </w:t>
      </w:r>
    </w:p>
    <w:p>
      <w:pPr>
        <w:pStyle w:val="CaptionedFigure"/>
      </w:pPr>
      <w:r>
        <w:drawing>
          <wp:inline>
            <wp:extent cx="5504749" cy="5504749"/>
            <wp:effectExtent b="0" l="0" r="0" t="0"/>
            <wp:docPr descr="Figure 18: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10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106" w:name="X83aaf0786a6f558f7fdabd292812f9e0f4fbdad"/>
      <w:r>
        <w:t xml:space="preserve">Predicting E</w:t>
      </w:r>
      <w:r>
        <w:rPr>
          <w:vertAlign w:val="subscript"/>
        </w:rPr>
        <w:t xml:space="preserve">2</w:t>
      </w:r>
      <w:r>
        <w:t xml:space="preserve">:E</w:t>
      </w:r>
      <w:r>
        <w:rPr>
          <w:vertAlign w:val="subscript"/>
        </w:rPr>
        <w:t xml:space="preserve">3</w:t>
      </w:r>
      <w:r>
        <w:t xml:space="preserve">: NOM molecular size &amp; aromaticity</w:t>
      </w:r>
      <w:bookmarkEnd w:id="106"/>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19</w:t>
      </w:r>
      <w:r>
        <w:t xml:space="preserve">).</w:t>
      </w:r>
    </w:p>
    <w:p>
      <w:pPr>
        <w:pStyle w:val="BodyText"/>
      </w:pPr>
      <w:r>
        <w:t xml:space="preserve"> </w:t>
      </w:r>
    </w:p>
    <w:p>
      <w:pPr>
        <w:pStyle w:val="CaptionedFigure"/>
      </w:pPr>
      <w:r>
        <w:drawing>
          <wp:inline>
            <wp:extent cx="5504749" cy="5504749"/>
            <wp:effectExtent b="0" l="0" r="0" t="0"/>
            <wp:docPr descr="Figure 19: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8" w:name="X106572f796f3bfb040ff29a6d24db4ec14a560b"/>
      <w:r>
        <w:t xml:space="preserve">Predictors in relation to NOM quantity and quality</w:t>
      </w:r>
      <w:bookmarkEnd w:id="108"/>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E2, Figure</w:t>
      </w:r>
      <w:r>
        <w:t xml:space="preserve"> </w:t>
      </w:r>
      <w:r>
        <w:t xml:space="preserve">39</w:t>
      </w:r>
      <w:r>
        <w:t xml:space="preserve">).</w:t>
      </w:r>
    </w:p>
    <w:p>
      <w:pPr>
        <w:pStyle w:val="BodyText"/>
      </w:pPr>
      <w:r>
        <w:t xml:space="preserve"> </w:t>
      </w:r>
    </w:p>
    <w:p>
      <w:pPr>
        <w:pStyle w:val="Heading5"/>
      </w:pPr>
      <w:bookmarkStart w:id="109" w:name="sampling-conditions"/>
      <w:r>
        <w:t xml:space="preserve">Sampling conditions</w:t>
      </w:r>
      <w:bookmarkEnd w:id="109"/>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influenced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w:t>
      </w:r>
    </w:p>
    <w:p>
      <w:pPr>
        <w:pStyle w:val="BodyText"/>
      </w:pPr>
      <w:r>
        <w:t xml:space="preserve"> </w:t>
      </w:r>
    </w:p>
    <w:p>
      <w:pPr>
        <w:pStyle w:val="Heading6"/>
      </w:pPr>
      <w:bookmarkStart w:id="110" w:name="sampling-stage"/>
      <w:r>
        <w:t xml:space="preserve">Sampling stage</w:t>
      </w:r>
      <w:bookmarkEnd w:id="110"/>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20</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and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20</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 Grab samples from falling hydrograph limbs supported this concept of peak hydrologic connectivity as sample NOM quantity and aromatic quality decreased on the recession limb.</w:t>
      </w:r>
    </w:p>
    <w:p>
      <w:pPr>
        <w:pStyle w:val="BodyText"/>
      </w:pPr>
      <w:r>
        <w:t xml:space="preserve"> </w:t>
      </w:r>
    </w:p>
    <w:p>
      <w:pPr>
        <w:pStyle w:val="CaptionedFigure"/>
      </w:pPr>
      <w:r>
        <w:drawing>
          <wp:inline>
            <wp:extent cx="3669832" cy="4587290"/>
            <wp:effectExtent b="0" l="0" r="0" t="0"/>
            <wp:docPr descr="Figure 20:  Sampling stage as a predictor for NOM quantity (as DOC concentration) and molecular quality (as SAC254 and E2:E3) across six monitoring sites in the Leech watershed.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11"/>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Sampling stage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12" w:name="antecedent-7-day-air-temperature"/>
      <w:r>
        <w:t xml:space="preserve">Antecedent 7-day air temperature</w:t>
      </w:r>
      <w:bookmarkEnd w:id="112"/>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 C (Figure</w:t>
      </w:r>
      <w:r>
        <w:t xml:space="preserve"> </w:t>
      </w:r>
      <w:r>
        <w:t xml:space="preserve">21</w:t>
      </w:r>
      <w:r>
        <w:t xml:space="preserve">). DOC and 7-day temperature were positively related in the wet season with no obvious relationship in the dry season (Appendix E2, Figure</w:t>
      </w:r>
      <w:r>
        <w:t xml:space="preserve"> </w:t>
      </w:r>
      <w:r>
        <w:t xml:space="preserve">40</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21:  Antecedent 7-day air temperature as a predictor for NOM quantity (as DOC concentration) and molecular quality (as SAC254 and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13"/>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7-day air temperature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14" w:name="antecedent-30-day-rain"/>
      <w:r>
        <w:t xml:space="preserve">Antecedent 30-day rain</w:t>
      </w:r>
      <w:bookmarkEnd w:id="114"/>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22</w:t>
      </w:r>
      <w:r>
        <w:t xml:space="preserve">).</w:t>
      </w:r>
    </w:p>
    <w:p>
      <w:pPr>
        <w:pStyle w:val="BodyText"/>
      </w:pPr>
      <w:r>
        <w:t xml:space="preserve"> </w:t>
      </w:r>
    </w:p>
    <w:p>
      <w:pPr>
        <w:pStyle w:val="BodyText"/>
      </w:pPr>
      <w:r>
        <w:t xml:space="preserve">Fewer sample results were obtained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22</w:t>
      </w:r>
      <w:r>
        <w:t xml:space="preserve">). For these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Creek, Leech-head) showed a steeper decline in DOC with increasing 30-day antecedent rain (site-specific plot in Appendix E2, Figure</w:t>
      </w:r>
      <w:r>
        <w:t xml:space="preserve"> </w:t>
      </w:r>
      <w:r>
        <w:t xml:space="preserve">41</w:t>
      </w:r>
      <w:r>
        <w:t xml:space="preserve">).</w:t>
      </w:r>
    </w:p>
    <w:p>
      <w:pPr>
        <w:pStyle w:val="BodyText"/>
      </w:pPr>
      <w:r>
        <w:t xml:space="preserve"> </w:t>
      </w:r>
    </w:p>
    <w:p>
      <w:pPr>
        <w:pStyle w:val="CaptionedFigure"/>
      </w:pPr>
      <w:r>
        <w:drawing>
          <wp:inline>
            <wp:extent cx="3669832" cy="4587290"/>
            <wp:effectExtent b="0" l="0" r="0" t="0"/>
            <wp:docPr descr="Figure 22:  Antecedent 30-day rain as a predictor for NOM quantity (as DOC concentration) and molecular quality (as SAC254 and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15"/>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Antecedent 30-day rain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16" w:name="watershed-characteristics"/>
      <w:r>
        <w:t xml:space="preserve">Watershed characteristics</w:t>
      </w:r>
      <w:bookmarkEnd w:id="116"/>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7" w:name="sub-basin-slope"/>
      <w:r>
        <w:t xml:space="preserve">Sub-basin slope</w:t>
      </w:r>
      <w:bookmarkEnd w:id="117"/>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23</w:t>
      </w:r>
      <w:r>
        <w:t xml:space="preserve">). SAC</w:t>
      </w:r>
      <w:r>
        <w:rPr>
          <w:vertAlign w:val="subscript"/>
        </w:rPr>
        <w:t xml:space="preserve">254</w:t>
      </w:r>
      <w:r>
        <w:t xml:space="preserve"> </w:t>
      </w:r>
      <w:r>
        <w:t xml:space="preserve">indicated greater reactivity in sub-basins with lower mean slope (Figure</w:t>
      </w:r>
      <w:r>
        <w:t xml:space="preserve"> </w:t>
      </w:r>
      <w:r>
        <w:t xml:space="preserve">23</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3:  Sub-basin mean slope as a predictor for NOM quantity (as DOC concentration) and molecular quality (as SAC254 and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8"/>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Sub-basin mean slope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9" w:name="parent-material-metamorphic-wark-gneiss"/>
      <w:r>
        <w:t xml:space="preserve">Parent material (metamorphic wark gneiss)</w:t>
      </w:r>
      <w:bookmarkEnd w:id="119"/>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24</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24</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24</w:t>
      </w:r>
      <w:r>
        <w:t xml:space="preserve">).</w:t>
      </w:r>
    </w:p>
    <w:p>
      <w:pPr>
        <w:pStyle w:val="BodyText"/>
      </w:pPr>
      <w:r>
        <w:t xml:space="preserve"> </w:t>
      </w:r>
    </w:p>
    <w:p>
      <w:pPr>
        <w:pStyle w:val="CaptionedFigure"/>
      </w:pPr>
      <w:r>
        <w:drawing>
          <wp:inline>
            <wp:extent cx="3669832" cy="5504749"/>
            <wp:effectExtent b="0" l="0" r="0" t="0"/>
            <wp:docPr descr="Figure 24:  Percent of each sub-basin underlain by wark gneiss (metamorphic parent material) as a predictor for NOM quantity (as DOC concentration) and molecular quality (as SAC254 and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20"/>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Percent of each sub-basin underlain by wark gneiss (metamorphic parent material)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21" w:name="logging-history-and-mean-tree-age"/>
      <w:r>
        <w:t xml:space="preserve">Logging history and mean tree age</w:t>
      </w:r>
      <w:bookmarkEnd w:id="121"/>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largely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Creek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Creek and Leech-head (just downstream) had higher harvested area (ergo younger trees) and did not match this pattern of less aromatic, lower molecular weight NOM with greater harvest history (Figure</w:t>
      </w:r>
      <w:r>
        <w:t xml:space="preserve"> </w:t>
      </w:r>
      <w:r>
        <w:t xml:space="preserve">25</w:t>
      </w:r>
      <w:r>
        <w:t xml:space="preserve">). The sites with more aromatic and higher molecular weight NOM were not clearly linked to average tree age (Figure</w:t>
      </w:r>
      <w:r>
        <w:t xml:space="preserve"> </w:t>
      </w:r>
      <w:r>
        <w:t xml:space="preserve">25</w:t>
      </w:r>
      <w:r>
        <w:t xml:space="preserve">).</w:t>
      </w:r>
    </w:p>
    <w:p>
      <w:pPr>
        <w:pStyle w:val="BodyText"/>
      </w:pPr>
      <w:r>
        <w:t xml:space="preserve"> </w:t>
      </w:r>
    </w:p>
    <w:p>
      <w:pPr>
        <w:pStyle w:val="BodyText"/>
      </w:pPr>
      <w:r>
        <w:t xml:space="preserve">Chris Creek and Cragg Creek sub-basins had the youngest (40 yrs) and oldest (59 yrs) trees, respectively; yet, these two sites had very similar averages for NOM quantity and quality, though Chris Creek had slightly higher molecular weight NOM. While Cragg Creek sub-basin had, on average, the oldest trees (likely due to old growth maintained on Horton Ridge, between Sooke Lake catchment and the Leech River watershed), it was West Leech that was the least-harvested sub-basin of the six monitoring sites (~26% area harvested 1980-2011). Cragg Creek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Cragg Creek had greater molecular weight NOM than West Leech (but their error bars overlapped entirely). It is possible that the GIS data for forest harvest and tree age were missing some details, or that the average tree age was not a good indicator variable.</w:t>
      </w:r>
    </w:p>
    <w:p>
      <w:pPr>
        <w:pStyle w:val="BodyText"/>
      </w:pPr>
      <w:r>
        <w:t xml:space="preserve"> </w:t>
      </w:r>
    </w:p>
    <w:p>
      <w:pPr>
        <w:pStyle w:val="CaptionedFigure"/>
      </w:pPr>
      <w:r>
        <w:drawing>
          <wp:inline>
            <wp:extent cx="5943600" cy="5486399"/>
            <wp:effectExtent b="0" l="0" r="0" t="0"/>
            <wp:docPr descr="Figure 25:  Sub-basin mean tree age as a predictor for NOM quantity (as DOC concentration) and molecular quality (as SAC254 and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22"/>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Sub-basin mean tree age as a predictor for NOM quantity (as DOC concentration) and molecular quality (as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23" w:name="variable-importance-summary"/>
      <w:r>
        <w:t xml:space="preserve">Variable importance Summary</w:t>
      </w:r>
      <w:bookmarkEnd w:id="123"/>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possibly the schist-like Leech River Formation, or a dominant soil type.</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24" w:name="X8a5360c2131915aff3d568048020d54c1b1f742"/>
      <w:r>
        <w:t xml:space="preserve">Warm and wet: seasonal patterns and rain events</w:t>
      </w:r>
      <w:bookmarkEnd w:id="124"/>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26</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Creek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6: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which dominated the group set plot."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2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which dominated the group set plot.</w:t>
      </w:r>
    </w:p>
    <w:p>
      <w:pPr>
        <w:pStyle w:val="BodyText"/>
      </w:pPr>
      <w:r>
        <w:t xml:space="preserve"> </w:t>
      </w:r>
    </w:p>
    <w:p>
      <w:pPr>
        <w:pStyle w:val="Heading5"/>
      </w:pPr>
      <w:bookmarkStart w:id="126" w:name="rising-stage-and-aqueous-nom-dynamics"/>
      <w:r>
        <w:t xml:space="preserve">Rising stage and aqueous NOM dynamics</w:t>
      </w:r>
      <w:bookmarkEnd w:id="126"/>
    </w:p>
    <w:p>
      <w:pPr>
        <w:pStyle w:val="FirstParagraph"/>
      </w:pPr>
      <w:r>
        <w:t xml:space="preserve">Antecedent moisture and/or sampling stage was important for each of the three predictant variables evaluated though RF VIM. Across the Leech WSA, the highest DOC concentration occurred in the earliest events of each wet season (events 1 &amp; 9, Table</w:t>
      </w:r>
      <w:r>
        <w:t xml:space="preserve"> </w:t>
      </w:r>
      <w:r>
        <w:t xml:space="preserve">16</w:t>
      </w:r>
      <w:r>
        <w:t xml:space="preserve">), while NOM reactivity (SAC</w:t>
      </w:r>
      <w:r>
        <w:rPr>
          <w:vertAlign w:val="subscript"/>
        </w:rPr>
        <w:t xml:space="preserve">254</w:t>
      </w:r>
      <w:r>
        <w:t xml:space="preserve">) peaked later, during the third major event in the 2019/2020 wet season (event 11, Table</w:t>
      </w:r>
      <w:r>
        <w:t xml:space="preserve"> </w:t>
      </w:r>
      <w:r>
        <w:t xml:space="preserve">16</w:t>
      </w:r>
      <w:r>
        <w:t xml:space="preserve">). Maximum NOM aromaticity and molecular size (E</w:t>
      </w:r>
      <w:r>
        <w:rPr>
          <w:vertAlign w:val="subscript"/>
        </w:rPr>
        <w:t xml:space="preserve">2</w:t>
      </w:r>
      <w:r>
        <w:t xml:space="preserve">:E</w:t>
      </w:r>
      <w:r>
        <w:rPr>
          <w:vertAlign w:val="subscript"/>
        </w:rPr>
        <w:t xml:space="preserve">3</w:t>
      </w:r>
      <w:r>
        <w:t xml:space="preserve">) occurred during the last major events, at the end of each wet season (events 3 &amp; 17). Peak DOC occurred in low intensity storms early in the wet season and samples with least concentrated DOC occurred in the winter cold months during high intensity storms (Table</w:t>
      </w:r>
      <w:r>
        <w:t xml:space="preserve"> </w:t>
      </w:r>
      <w:r>
        <w:t xml:space="preserve">16</w:t>
      </w:r>
      <w:r>
        <w:t xml:space="preserve">.</w:t>
      </w:r>
    </w:p>
    <w:p>
      <w:pPr>
        <w:pStyle w:val="BodyText"/>
      </w:pPr>
      <w:r>
        <w:t xml:space="preserve"> </w:t>
      </w:r>
    </w:p>
    <w:p>
      <w:pPr>
        <w:pStyle w:val="TableCaption"/>
      </w:pPr>
      <w:r>
        <w:t xml:space="preserve">Table 16: Rain events (with a threshold of 50 mm and 14-hour inter-event period) defined by Vertical Rack sample collection across the six monitoring sites of the Leech WSA</w:t>
      </w:r>
    </w:p>
    <w:tbl>
      <w:tblPr>
        <w:tblStyle w:val="Table"/>
        <w:tblW w:type="pct" w:w="4999.999999999999"/>
        <w:tblLook w:firstRow="1"/>
        <w:tblCaption w:val="Table 16: Rain events (with a threshold of 50 mm and 14-hour inter-event period) defined by Vertical Rack sample collection across the six monitoring sites of the Leech WSA"/>
      </w:tblPr>
      <w:tblGrid>
        <w:gridCol w:w="905"/>
        <w:gridCol w:w="622"/>
        <w:gridCol w:w="792"/>
        <w:gridCol w:w="1188"/>
        <w:gridCol w:w="1018"/>
        <w:gridCol w:w="905"/>
        <w:gridCol w:w="848"/>
        <w:gridCol w:w="792"/>
        <w:gridCol w:w="848"/>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12.93</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10.66</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10.49</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pPr>
              <w:pStyle w:val="Compact"/>
              <w:jc w:val="right"/>
            </w:pPr>
            <w:r>
              <w:t xml:space="preserve">10.83</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pPr>
              <w:pStyle w:val="Compact"/>
              <w:jc w:val="right"/>
            </w:pPr>
            <w:r>
              <w:t xml:space="preserve">7.73</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pPr>
              <w:pStyle w:val="Compact"/>
              <w:jc w:val="right"/>
            </w:pPr>
            <w:r>
              <w:t xml:space="preserve">3.18</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18.74</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16.12</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10.62</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9.03</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5.26</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5.10</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5.21</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6.95</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17</w:t>
      </w:r>
      <w:r>
        <w:t xml:space="preserve">). Time to peak stage was most rapid at Chris Creek (a narrow channel) and slowest at Leech-head (a headwater pool below turbulent steps). Stage changed at the fastest rate (cm/hr) in the highest order stream, the Tunnel site, and at the slowest rate at Weeks Creek which drains with attenuated flow from Weeks Lake and surrounding wetlands.</w:t>
      </w:r>
    </w:p>
    <w:p>
      <w:pPr>
        <w:pStyle w:val="BodyText"/>
      </w:pPr>
      <w:r>
        <w:t xml:space="preserve"> </w:t>
      </w:r>
    </w:p>
    <w:p>
      <w:pPr>
        <w:pStyle w:val="TableCaption"/>
      </w:pPr>
      <w:r>
        <w:t xml:space="preserve">Table 17: Summary of stream response to rain events across six monitoring sites in the Leech Water Supply Area</w:t>
      </w:r>
    </w:p>
    <w:tbl>
      <w:tblPr>
        <w:tblStyle w:val="Table"/>
        <w:tblW w:type="pct" w:w="5000.0"/>
        <w:tblLook w:firstRow="1"/>
        <w:tblCaption w:val="Table 17: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18</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18: Proportion of samples for which the highest dissolved organic carbon (DOC) concentration was collected at the highest sample stage</w:t>
      </w:r>
    </w:p>
    <w:tbl>
      <w:tblPr>
        <w:tblStyle w:val="Table"/>
        <w:tblW w:type="pct" w:w="0.0"/>
        <w:tblLook w:firstRow="1"/>
        <w:tblCaption w:val="Table 18: Proportion of samples for which the highest dissolved organic carbon (DOC) concentration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Creek and Leech-head each had the same proportion of common maxima and minima. In general DOC concentrations were lowest at the beginning of events and increased with a rise in stage (Figure</w:t>
      </w:r>
      <w:r>
        <w:t xml:space="preserve"> </w:t>
      </w:r>
      <w:r>
        <w:t xml:space="preserve">27</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7:  Stage and samples collected, highlighting samples with maximum and minimum DOC concentrations for each sampled rain event and collection period"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7"/>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Stage and samples collected, highlighting samples with maximum and minimum DOC concentrations for each sampled rain event and collection period</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19</w:t>
      </w:r>
      <w:r>
        <w:t xml:space="preserve">). The smallest event-based concentration changes occurred at the head and mouth of Leech River: Leech-head (1.2%) and the Tunnel (1.4%). The largest event-based change in concentration was observed at West Leech (94.6%), and the second largest change occurred at Chris Creek (82% change in DOC).</w:t>
      </w:r>
    </w:p>
    <w:p>
      <w:pPr>
        <w:pStyle w:val="BodyText"/>
      </w:pPr>
      <w:r>
        <w:t xml:space="preserve"> </w:t>
      </w:r>
    </w:p>
    <w:p>
      <w:pPr>
        <w:pStyle w:val="TableCaption"/>
      </w:pPr>
      <w:r>
        <w:t xml:space="preserve">Table 19: Summary of DOC changes within stormflow response to precipitation events across the Leech WSA (samples from wet season only)</w:t>
      </w:r>
    </w:p>
    <w:tbl>
      <w:tblPr>
        <w:tblStyle w:val="Table"/>
        <w:tblW w:type="pct" w:w="5000.0"/>
        <w:tblLook w:firstRow="1"/>
        <w:tblCaption w:val="Table 19: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Heading3"/>
      </w:pPr>
      <w:bookmarkStart w:id="128" w:name="discussion"/>
      <w:r>
        <w:t xml:space="preserve">Discussion</w:t>
      </w:r>
      <w:bookmarkEnd w:id="128"/>
    </w:p>
    <w:p>
      <w:pPr>
        <w:pStyle w:val="FirstParagraph"/>
      </w:pPr>
      <w:r>
        <w:t xml:space="preserve">The sampling conditions and watershed characteristics included in Random Forest variable importance measures (RF VIM) showed that across the six monitoring sites in the Leech WSA, stream NOM quality and quantity were most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NOM quantity and quality in each sub-basin was inversely related to representation of metamorphic wark gneiss parent material, but the absence of wark gneiss did not correspond to the site with greatest NOM quantity or reactive character. The patterns observed between NOM and metamorphic parent material suggests that aqueous NOM may be affected by combinations of watershed characteristics and more complex relationships that weren’t elucidated in this analysis. For example, combinations of parent materials and soil development may be more important than either variable alone. Similarly, the metasedimentary Leech River formation (argillite metagreywacke and metagreywacke) was inversely correlated (-0.92) to wark gneiss (and cross correlated to other variables) in the monitoring basins and therefore was not included in RF VIM analyses. The Leech River formation was the predominant parent material on the west side of the Leech WSA. Sub-basins draining from the west, Weeks creek and West Leech, also had the lowest percent area harvested from 1980 to 2011 (~28% and ~26%, respectively), and had greater quantities of larger, more aromatic and reactive aqueous NOM. While there was no clear link between NOM quantity and quality with average tree age or harvest history, perhaps the combination of less logging on this more erodible metasedimentary geolith contributed to NOM dynamics more than either other those variables alone.</w:t>
      </w:r>
    </w:p>
    <w:p>
      <w:pPr>
        <w:pStyle w:val="BodyText"/>
      </w:pPr>
      <w:r>
        <w:t xml:space="preserve"> </w:t>
      </w:r>
    </w:p>
    <w:p>
      <w:pPr>
        <w:pStyle w:val="BodyText"/>
      </w:pPr>
      <w:r>
        <w:t xml:space="preserve">Sub-basin slope was negatively correlated to percent wetland (-0.73), and wetlands are known to be linked with high DOC concentrations and NOM aromaticity (e.g. </w:t>
      </w:r>
      <w:r>
        <w:t xml:space="preserve">Oliver et al. (</w:t>
      </w:r>
      <w:hyperlink w:anchor="ref-Oliver2017">
        <w:r>
          <w:rPr>
            <w:rStyle w:val="Hyperlink"/>
          </w:rPr>
          <w:t xml:space="preserve">2017</w:t>
        </w:r>
      </w:hyperlink>
      <w:r>
        <w:t xml:space="preserve">)</w:t>
      </w:r>
      <w:r>
        <w:t xml:space="preserve">;</w:t>
      </w:r>
      <w:r>
        <w:t xml:space="preserve"> </w:t>
      </w:r>
      <w:r>
        <w:t xml:space="preserve">Aiken and Cotsaris (</w:t>
      </w:r>
      <w:hyperlink w:anchor="ref-Aiken1995">
        <w:r>
          <w:rPr>
            <w:rStyle w:val="Hyperlink"/>
          </w:rPr>
          <w:t xml:space="preserve">1995</w:t>
        </w:r>
      </w:hyperlink>
      <w:r>
        <w:t xml:space="preserve">)</w:t>
      </w:r>
      <w:r>
        <w:t xml:space="preserve">;</w:t>
      </w:r>
      <w:r>
        <w:t xml:space="preserve"> </w:t>
      </w:r>
      <w:r>
        <w:t xml:space="preserve">Ågren et al. (</w:t>
      </w:r>
      <w:hyperlink w:anchor="ref-Agren2008">
        <w:r>
          <w:rPr>
            <w:rStyle w:val="Hyperlink"/>
          </w:rPr>
          <w:t xml:space="preserve">2008</w:t>
        </w:r>
      </w:hyperlink>
      <w:r>
        <w:t xml:space="preserve">)</w:t>
      </w:r>
      <w:r>
        <w:t xml:space="preserve">;</w:t>
      </w:r>
      <w:r>
        <w:t xml:space="preserve"> </w:t>
      </w:r>
      <w:r>
        <w:t xml:space="preserve">Musolff et al. (</w:t>
      </w:r>
      <w:hyperlink w:anchor="ref-Musolff2018">
        <w:r>
          <w:rPr>
            <w:rStyle w:val="Hyperlink"/>
          </w:rPr>
          <w:t xml:space="preserve">2018</w:t>
        </w:r>
      </w:hyperlink>
      <w:r>
        <w:t xml:space="preserve">)</w:t>
      </w:r>
      <w:r>
        <w:t xml:space="preserve">). In general, lower sub-basin slope was related to greater NOM aromaticity, reactivity and concentration.</w:t>
      </w:r>
    </w:p>
    <w:p>
      <w:pPr>
        <w:pStyle w:val="BodyText"/>
      </w:pPr>
      <w:r>
        <w:t xml:space="preserve"> </w:t>
      </w:r>
    </w:p>
    <w:p>
      <w:pPr>
        <w:pStyle w:val="BodyText"/>
      </w:pPr>
      <w:r>
        <w:t xml:space="preserve">Stream stage was an important variable for predicting the quantity and reactivity of NOM in streams, whereas antecedent wetness conditions were more important for predicting NOM molecular size and aromaticity. The relative sensitivity of DOC concentration to stream stage points to hydrologic mass transport, whereas the sensitivity of NOM molecular character to antecedent wetness points to the importance of hydrologic connectivity between streams and the terrestrial landscape as a source of allochthonous NOM.</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 Early in the wet season there was a decrease in NOM quantity with increasing flows (higher stage), and as the wet season progresses, stream NOM quantity and aromaticity increased with increasing flows.</w:t>
      </w:r>
      <w:r>
        <w:t xml:space="preserve"> </w:t>
      </w:r>
      <w:r>
        <w:t xml:space="preserve">These results show a temporal shift in NOM source pools, from those of limited supply early in the wet season, to those of near-unlimited supply later in the wet season</w:t>
      </w:r>
      <w:r>
        <w:t xml:space="preserve"> </w:t>
      </w:r>
      <w:r>
        <w:t xml:space="preserve">(Zarnetske et al.</w:t>
      </w:r>
      <w:r>
        <w:t xml:space="preserve"> </w:t>
      </w:r>
      <w:hyperlink w:anchor="ref-Zarnetske2018">
        <w:r>
          <w:rPr>
            <w:rStyle w:val="Hyperlink"/>
          </w:rPr>
          <w:t xml:space="preserve">2018</w:t>
        </w:r>
      </w:hyperlink>
      <w:r>
        <w:t xml:space="preserve">)</w:t>
      </w:r>
      <w:r>
        <w:t xml:space="preserve">. In the Leech WSA monitoring sites, the most aromatic and highest molecular weight NOM samples were collected late in the wet season. Late wet-season samples results were more in line with the pulse-shunt concept than early wet-season samples (PSC,</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Aguilera and Melack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Certainly, stream discharge is well respected as a key driver for NOM flux in stream systems</w:t>
      </w:r>
      <w:r>
        <w:t xml:space="preserve"> </w:t>
      </w:r>
      <w:r>
        <w:t xml:space="preserve">(Raymond et al.</w:t>
      </w:r>
      <w:r>
        <w:t xml:space="preserve"> </w:t>
      </w:r>
      <w:hyperlink w:anchor="ref-Raymond2016">
        <w:r>
          <w:rPr>
            <w:rStyle w:val="Hyperlink"/>
          </w:rPr>
          <w:t xml:space="preserve">2016</w:t>
        </w:r>
      </w:hyperlink>
      <w:r>
        <w:t xml:space="preserve">; Zarnetske et al.</w:t>
      </w:r>
      <w:r>
        <w:t xml:space="preserve"> </w:t>
      </w:r>
      <w:hyperlink w:anchor="ref-Zarnetske2018">
        <w:r>
          <w:rPr>
            <w:rStyle w:val="Hyperlink"/>
          </w:rPr>
          <w:t xml:space="preserve">2018</w:t>
        </w:r>
      </w:hyperlink>
      <w:r>
        <w:t xml:space="preserve">; Oliver et al.</w:t>
      </w:r>
      <w:r>
        <w:t xml:space="preserve"> </w:t>
      </w:r>
      <w:hyperlink w:anchor="ref-Oliver2017">
        <w:r>
          <w:rPr>
            <w:rStyle w:val="Hyperlink"/>
          </w:rPr>
          <w:t xml:space="preserve">2017</w:t>
        </w:r>
      </w:hyperlink>
      <w:r>
        <w:t xml:space="preserve">; Musolff et al.</w:t>
      </w:r>
      <w:r>
        <w:t xml:space="preserve"> </w:t>
      </w:r>
      <w:hyperlink w:anchor="ref-Musolff2015">
        <w:r>
          <w:rPr>
            <w:rStyle w:val="Hyperlink"/>
          </w:rPr>
          <w:t xml:space="preserve">2015</w:t>
        </w:r>
      </w:hyperlink>
      <w:r>
        <w:t xml:space="preserve">)</w:t>
      </w:r>
      <w:r>
        <w:t xml:space="preserve">. In a west coast small-basins (&lt; 1 km</w:t>
      </w:r>
      <w:r>
        <w:rPr>
          <w:vertAlign w:val="superscript"/>
        </w:rPr>
        <w:t xml:space="preserve">2</w:t>
      </w:r>
      <w:r>
        <w:t xml:space="preserve">) study in the H. J. Andrews Experimental Forest (Oregon, CA) pre-storm DOC was measured at three sites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In the Leech WSA, DOC concentrations at the onset of stream rise were higher (2-6 mg/L) as were peak rising limb concentrations (6-16 mg/L), resulting in relative rising limb DOC changes bring less dramatic (&lt;100% increase) than Hood et. al found</w:t>
      </w:r>
      <w:r>
        <w:t xml:space="preserve"> </w:t>
      </w:r>
      <w:r>
        <w:t xml:space="preserve">(</w:t>
      </w:r>
      <w:hyperlink w:anchor="ref-Hood2006">
        <w:r>
          <w:rPr>
            <w:rStyle w:val="Hyperlink"/>
          </w:rPr>
          <w:t xml:space="preserve">2006</w:t>
        </w:r>
      </w:hyperlink>
      <w:r>
        <w:t xml:space="preserve">)</w:t>
      </w:r>
      <w:r>
        <w:t xml:space="preserve">. While the same relative magnitude of change in DOC was not measured in the Leech WSA, the methods used by Hood et al</w:t>
      </w:r>
      <w:r>
        <w:t xml:space="preserve"> </w:t>
      </w:r>
      <w:r>
        <w:t xml:space="preserve">(</w:t>
      </w:r>
      <w:hyperlink w:anchor="ref-Hood2006">
        <w:r>
          <w:rPr>
            <w:rStyle w:val="Hyperlink"/>
          </w:rPr>
          <w:t xml:space="preserve">2006</w:t>
        </w:r>
      </w:hyperlink>
      <w:r>
        <w:t xml:space="preserve">)</w:t>
      </w:r>
      <w:r>
        <w:t xml:space="preserve"> </w:t>
      </w:r>
      <w:r>
        <w:t xml:space="preserve">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relatively higher baseline DOC concentrations.</w:t>
      </w:r>
    </w:p>
    <w:p>
      <w:pPr>
        <w:pStyle w:val="BodyText"/>
      </w:pPr>
      <w:r>
        <w:t xml:space="preserve"> </w:t>
      </w:r>
    </w:p>
    <w:p>
      <w:pPr>
        <w:pStyle w:val="BodyText"/>
      </w:pPr>
      <w:r>
        <w:t xml:space="preserve">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Leech Watershed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Creek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That is, when there was more water (later in the wet season) DOC tended to peaked with stage, whereas early in the wet season DOC was diluted as stage increased; these results point to NOM supply and hydrologic connectivity to terrestrial source pools and not to in-stream dilution effects. These observed temporal changes in NOM concentration with stage are additional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 Aanother possible explanation for the concentration-stage threshold could be indicative of a transition point in the event hydrograph from soil water contributions to throughfall and overland flow</w:t>
      </w:r>
      <w:r>
        <w:t xml:space="preserve"> </w:t>
      </w:r>
      <w:r>
        <w:t xml:space="preserve">(Penna and Meerveld</w:t>
      </w:r>
      <w:r>
        <w:t xml:space="preserve"> </w:t>
      </w:r>
      <w:hyperlink w:anchor="ref-Penna2019">
        <w:r>
          <w:rPr>
            <w:rStyle w:val="Hyperlink"/>
          </w:rPr>
          <w:t xml:space="preserve">2019</w:t>
        </w:r>
      </w:hyperlink>
      <w:r>
        <w:t xml:space="preserve">)</w:t>
      </w:r>
      <w:r>
        <w:t xml:space="preserve">.</w:t>
      </w:r>
    </w:p>
    <w:p>
      <w:pPr>
        <w:pStyle w:val="BodyText"/>
      </w:pPr>
      <w:r>
        <w:t xml:space="preserve"> </w:t>
      </w:r>
    </w:p>
    <w:p>
      <w:pPr>
        <w:pStyle w:val="BodyText"/>
      </w:pPr>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opposite spatial patterns for NOM molecular size and aromatic character. NOM aromaticity and molecular size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 These results show that the Pulse Shunt Concept dominated aqueous NOM dynamics in the wet season (when hydrologic pulses were strongest). The River Continuum Concept may better explain the spatial NOM dynamics observed in the absence of hydrologic pulses, during the dry season.</w:t>
      </w:r>
    </w:p>
    <w:p>
      <w:pPr>
        <w:pStyle w:val="BodyText"/>
      </w:pPr>
      <w:r>
        <w:t xml:space="preserve"> </w:t>
      </w:r>
    </w:p>
    <w:p>
      <w:pPr>
        <w:pStyle w:val="Heading3"/>
      </w:pPr>
      <w:bookmarkStart w:id="129" w:name="summary"/>
      <w:r>
        <w:t xml:space="preserve">Summary</w:t>
      </w:r>
      <w:bookmarkEnd w:id="129"/>
    </w:p>
    <w:p>
      <w:pPr>
        <w:pStyle w:val="FirstParagraph"/>
      </w:pPr>
      <w:r>
        <w:t xml:space="preserve">Spatial variation in aqueous NOM quantity and quality was determined to be partly driven by sub-basin parent material. Parent material and soil types are linked to chemical loads in surface waters, which can be partially attributed to differences in hydraulic conductivity and water storage capacity</w:t>
      </w:r>
      <w:r>
        <w:t xml:space="preserve"> </w:t>
      </w:r>
      <w:r>
        <w:t xml:space="preserve">(Musolff et al.</w:t>
      </w:r>
      <w:r>
        <w:t xml:space="preserve"> </w:t>
      </w:r>
      <w:hyperlink w:anchor="ref-Musolff2015">
        <w:r>
          <w:rPr>
            <w:rStyle w:val="Hyperlink"/>
          </w:rPr>
          <w:t xml:space="preserve">2015</w:t>
        </w:r>
      </w:hyperlink>
      <w:r>
        <w:t xml:space="preserve">)</w:t>
      </w:r>
      <w:r>
        <w:t xml:space="preserve">. Geological factors have been linked to stream alkalinity and total dissolved solids (e.g. </w:t>
      </w:r>
      <w:r>
        <w:t xml:space="preserve">Johnson et al. (</w:t>
      </w:r>
      <w:hyperlink w:anchor="ref-Johnson1997">
        <w:r>
          <w:rPr>
            <w:rStyle w:val="Hyperlink"/>
          </w:rPr>
          <w:t xml:space="preserve">1997</w:t>
        </w:r>
      </w:hyperlink>
      <w:r>
        <w:t xml:space="preserve">)</w:t>
      </w:r>
      <w:r>
        <w:t xml:space="preserve">) and inorganic chemicals</w:t>
      </w:r>
      <w:r>
        <w:t xml:space="preserve"> </w:t>
      </w:r>
      <w:r>
        <w:t xml:space="preserve">(Feller</w:t>
      </w:r>
      <w:r>
        <w:t xml:space="preserve"> </w:t>
      </w:r>
      <w:hyperlink w:anchor="ref-Feller2005">
        <w:r>
          <w:rPr>
            <w:rStyle w:val="Hyperlink"/>
          </w:rPr>
          <w:t xml:space="preserve">2005</w:t>
        </w:r>
      </w:hyperlink>
      <w:r>
        <w:t xml:space="preserve">)</w:t>
      </w:r>
      <w:r>
        <w:t xml:space="preserve">. As geological weathering is strongly linked to temperature, as well as physical forces (e.g. </w:t>
      </w:r>
      <w:r>
        <w:t xml:space="preserve">Feller (</w:t>
      </w:r>
      <w:hyperlink w:anchor="ref-Feller2005">
        <w:r>
          <w:rPr>
            <w:rStyle w:val="Hyperlink"/>
          </w:rPr>
          <w:t xml:space="preserve">2005</w:t>
        </w:r>
      </w:hyperlink>
      <w:r>
        <w:t xml:space="preserve">)</w:t>
      </w:r>
      <w:r>
        <w:t xml:space="preserve">), the RF VIM results of warm and wet conditions coupled with sub-basin parent material point to a set of interrelated abiotic drivers for aqueous NOM dynamics. Although the precise relationship was not completely resolved, it was evident that a greater proportion of metamorphic parent material corresponded to lower concentrations of less aromatic and less reactive NOM in streams. Not studied in this project were biotic variables (e.g. in-stream and riparian invertebrates, microbes and algae), which would also be affected by temperature regimes and would display dynamic fluctuations with NOM quantity and quality.</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Overall, wet season NOM dynamics followed the Pulse Shunt Concept, with greater concentrations of DOC moving through the streams near peak flow, relative to other stream stages. There was also a longitudinal reduction in wet-season NOM quantity and reactive quality along the reach of Leech WSA streams. In the wet season, spatial NOM dynamics also followed predictions of the River Continuum Concept (RCC) in that NOM quantity and reactive quality decreased from headwaters to higher order streams, though this may have been due more to dilution effects than ecological processing. Counter to anticipated RCC-based patterns, NOM with greater aromaticity and molecular size was found at downstream sites in the dry season. Further exploration of NOM quality across stream reaches in the dry season may yield insights into variable sources such as relative groundwater contributions to dry-season baseflow.</w:t>
      </w:r>
    </w:p>
    <w:p>
      <w:pPr>
        <w:pStyle w:val="BodyText"/>
      </w:pPr>
      <w:r>
        <w:t xml:space="preserve"> </w:t>
      </w:r>
    </w:p>
    <w:p>
      <w:pPr>
        <w:pStyle w:val="BodyText"/>
      </w:pPr>
      <w:r>
        <w:t xml:space="preserve">Although sampling stage was directly related to rain conditions in the Leech WSA, in that more rain generated greater stream rise (and therefore discharge), antecedent rain was relatively more important as a predictor for NOM quality than sampling stage was. These results indicated that antecedent landscape wetness created greater hydrologic connectivity to terrestrial NOM source pools, and that connectivity was more important than stream stage itself. Antecedent wetness has been shown to be important for pre-concentration of soluble allochthonous NOM and associated constituents</w:t>
      </w:r>
      <w:r>
        <w:t xml:space="preserve"> </w:t>
      </w:r>
      <w:r>
        <w:t xml:space="preserve">(Oswald and Branfireun</w:t>
      </w:r>
      <w:r>
        <w:t xml:space="preserve"> </w:t>
      </w:r>
      <w:hyperlink w:anchor="ref-Oswald2014">
        <w:r>
          <w:rPr>
            <w:rStyle w:val="Hyperlink"/>
          </w:rPr>
          <w:t xml:space="preserve">2014</w:t>
        </w:r>
      </w:hyperlink>
      <w:r>
        <w:t xml:space="preserve">)</w:t>
      </w:r>
      <w:r>
        <w:t xml:space="preserve">, and increasing hydrologic connectivity for greater fluvial NOM export</w:t>
      </w:r>
      <w:r>
        <w:t xml:space="preserve"> </w:t>
      </w:r>
      <w:r>
        <w:t xml:space="preserve">(Kiewiet et al.</w:t>
      </w:r>
      <w:r>
        <w:t xml:space="preserve"> </w:t>
      </w:r>
      <w:hyperlink w:anchor="ref-Kiewiet2020">
        <w:r>
          <w:rPr>
            <w:rStyle w:val="Hyperlink"/>
          </w:rPr>
          <w:t xml:space="preserve">2020</w:t>
        </w:r>
      </w:hyperlink>
      <w:r>
        <w:t xml:space="preserve">; McMillan et al.</w:t>
      </w:r>
      <w:r>
        <w:t xml:space="preserve"> </w:t>
      </w:r>
      <w:hyperlink w:anchor="ref-McMillan2018">
        <w:r>
          <w:rPr>
            <w:rStyle w:val="Hyperlink"/>
          </w:rPr>
          <w:t xml:space="preserve">2018</w:t>
        </w:r>
      </w:hyperlink>
      <w:r>
        <w:t xml:space="preserve">; Biron et al.</w:t>
      </w:r>
      <w:r>
        <w:t xml:space="preserve"> </w:t>
      </w:r>
      <w:hyperlink w:anchor="ref-Biron1999">
        <w:r>
          <w:rPr>
            <w:rStyle w:val="Hyperlink"/>
          </w:rPr>
          <w:t xml:space="preserve">1999</w:t>
        </w:r>
      </w:hyperlink>
      <w:r>
        <w:t xml:space="preserve">; McGuire and McDonnell</w:t>
      </w:r>
      <w:r>
        <w:t xml:space="preserve"> </w:t>
      </w:r>
      <w:hyperlink w:anchor="ref-McGuire2010">
        <w:r>
          <w:rPr>
            <w:rStyle w:val="Hyperlink"/>
          </w:rPr>
          <w:t xml:space="preserve">2010</w:t>
        </w:r>
      </w:hyperlink>
      <w:r>
        <w:t xml:space="preserve">; Musolff et al.</w:t>
      </w:r>
      <w:r>
        <w:t xml:space="preserve"> </w:t>
      </w:r>
      <w:hyperlink w:anchor="ref-Musolff2018">
        <w:r>
          <w:rPr>
            <w:rStyle w:val="Hyperlink"/>
          </w:rPr>
          <w:t xml:space="preserve">2018</w:t>
        </w:r>
      </w:hyperlink>
      <w:r>
        <w:t xml:space="preserve">)</w:t>
      </w:r>
      <w:r>
        <w:t xml:space="preserve">.</w:t>
      </w:r>
    </w:p>
    <w:p>
      <w:pPr>
        <w:pStyle w:val="BodyText"/>
      </w:pPr>
      <w:r>
        <w:t xml:space="preserve"> </w:t>
      </w:r>
    </w:p>
    <w:p>
      <w:pPr>
        <w:pStyle w:val="Heading3"/>
      </w:pPr>
      <w:bookmarkStart w:id="130" w:name="future-directions"/>
      <w:r>
        <w:t xml:space="preserve">Future directions</w:t>
      </w:r>
      <w:bookmarkEnd w:id="130"/>
    </w:p>
    <w:p>
      <w:pPr>
        <w:pStyle w:val="FirstParagraph"/>
      </w:pPr>
      <w:r>
        <w:t xml:space="preserve">In the future, Vertical Rack sampling (and matched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A2)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The security of drinking water supply quality depends on weather, which is also a major player in other risks to the forested watershed. It was evident that antecedent wetness and stream stage were important in dictating NOM dynamics in the Leech; with additional weather data it would be informative to establish relationships for NOM dynamic predictor variables that are also associated with increased fire risk (i.e. temperature, relative humidity, antecedent rain, wind speed and direction) or mass wasting (i.e. excessive rainfall). Identifying hydrometeorological indicators common to water quality and natural risk management could provide efficiency in operational watershed management. With greater understanding of the conditions and characteristics that drive water quality dynamics, an index system could be created that incorporates predictors for drinking water supply quality with those for forested watershed threats (e.g. wildfire, windthrow, or mass wasting events).</w:t>
      </w:r>
    </w:p>
    <w:p>
      <w:pPr>
        <w:pStyle w:val="BodyText"/>
      </w:pPr>
      <w:r>
        <w:t xml:space="preserve"> </w:t>
      </w:r>
    </w:p>
    <w:p>
      <w:pPr>
        <w:pStyle w:val="Heading2"/>
      </w:pPr>
      <w:bookmarkStart w:id="131" w:name="recap-and-conclusions"/>
      <w:r>
        <w:t xml:space="preserve">Recap and Conclusions</w:t>
      </w:r>
      <w:bookmarkEnd w:id="131"/>
    </w:p>
    <w:p>
      <w:pPr>
        <w:pStyle w:val="FirstParagraph"/>
      </w:pPr>
      <w:r>
        <w:t xml:space="preserve"> </w:t>
      </w:r>
    </w:p>
    <w:p>
      <w:pPr>
        <w:pStyle w:val="Heading3"/>
      </w:pPr>
      <w:bookmarkStart w:id="132" w:name="introduction"/>
      <w:r>
        <w:t xml:space="preserve">Introduction</w:t>
      </w:r>
      <w:bookmarkEnd w:id="132"/>
    </w:p>
    <w:p>
      <w:pPr>
        <w:pStyle w:val="FirstParagraph"/>
      </w:pPr>
      <w:r>
        <w:t xml:space="preserve">This research was conducted to better understand spatial and temporal variations in source water quality across a second-growth forested watershed. Water quality dynamics were evaluated as the quantity and quality of natural organic matter (NOM), a master variable in aquatic systems. Three research questions and objectives were addressed in this thesis. The first research objective was to design a sampling strategy for evaluation of spatial and temporal patterns and variance in NOM quality and quantity across 12 sites in the Greater Victoria Water Supply Areas (Chapters 2 and 3). The second research objective was to identify which watershed characteristics and hydroclimatic conditions best explained the aqueous NOM dynamics observed through sampling (Chapter 4). This chapter speaks to the third research objective, of framing results in context of continued water quality monitoring and planning for drinking water supply and future inter-basin transfers in the Greater Victoria Water Supply Areas (GVWASA).</w:t>
      </w:r>
    </w:p>
    <w:p>
      <w:pPr>
        <w:pStyle w:val="BodyText"/>
      </w:pPr>
      <w:r>
        <w:t xml:space="preserve"> </w:t>
      </w:r>
    </w:p>
    <w:p>
      <w:pPr>
        <w:pStyle w:val="Heading3"/>
      </w:pPr>
      <w:bookmarkStart w:id="133" w:name="synopsis"/>
      <w:r>
        <w:t xml:space="preserve">Synopsis</w:t>
      </w:r>
      <w:bookmarkEnd w:id="133"/>
    </w:p>
    <w:p>
      <w:pPr>
        <w:pStyle w:val="FirstParagraph"/>
      </w:pPr>
      <w:r>
        <w:t xml:space="preserve">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spectroscopic proxies. The molecular structure of NOM (i.e. it’s quality) can vary from large, highly aromatic compounds to smaller aliphatic molecules and differences can be attributed to the source material. Terrestrial humic substances (i.e. allochthonous NOM) tends to be higher molecular weight, larger and more aromatic in structure; while in-stream sources of NOM (i.e. autochthonous NOM), such as algae, are typically more aliphatic in structure. The spectral absorbance coefficient at 254 nm (SAC</w:t>
      </w:r>
      <w:r>
        <w:rPr>
          <w:vertAlign w:val="subscript"/>
        </w:rPr>
        <w:t xml:space="preserve">254</w:t>
      </w:r>
      <w:r>
        <w:t xml:space="preserve">) was used as an indicator of NOM reactivity and the quotient of SAC</w:t>
      </w:r>
      <w:r>
        <w:rPr>
          <w:vertAlign w:val="subscript"/>
        </w:rPr>
        <w:t xml:space="preserve">250</w:t>
      </w:r>
      <w:r>
        <w:t xml:space="preserve"> </w:t>
      </w:r>
      <w:r>
        <w:t xml:space="preserve">to 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was used as an indicator of NOM molecular size and aromaticity</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Results of these studies yielded six key findings which are provided below and discussed in the following sections.</w:t>
      </w:r>
    </w:p>
    <w:p>
      <w:pPr>
        <w:pStyle w:val="BodyText"/>
      </w:pPr>
      <w:r>
        <w:t xml:space="preserve"> </w:t>
      </w:r>
    </w:p>
    <w:p>
      <w:pPr>
        <w:pStyle w:val="Heading3"/>
      </w:pPr>
      <w:bookmarkStart w:id="134" w:name="key-findings"/>
      <w:r>
        <w:t xml:space="preserve">Key findings</w:t>
      </w:r>
      <w:bookmarkEnd w:id="134"/>
    </w:p>
    <w:p>
      <w:pPr>
        <w:pStyle w:val="FirstParagraph"/>
      </w:pPr>
      <w:r>
        <w:t xml:space="preserve">Foundational results and method development (Chapter 2) elucidated two key findings:</w:t>
      </w:r>
    </w:p>
    <w:p>
      <w:pPr>
        <w:pStyle w:val="Compact"/>
        <w:numPr>
          <w:numId w:val="1003"/>
          <w:ilvl w:val="0"/>
        </w:numPr>
      </w:pPr>
      <w:r>
        <w:t xml:space="preserve">Vertical Rack stream water sample stability depended on the field conditions that samples were held under and the character of NOM contained in the sample: early wet season NOM was more aliphatic and less stable, mid- to late-season samples were stable up to 20 days at temperatures between 0-7° C, and freezing appeared to change NOM molecular attributes</w:t>
      </w:r>
    </w:p>
    <w:p>
      <w:pPr>
        <w:pStyle w:val="Compact"/>
        <w:numPr>
          <w:numId w:val="1003"/>
          <w:ilvl w:val="0"/>
        </w:numPr>
      </w:pPr>
      <w:r>
        <w:t xml:space="preserve">SAC</w:t>
      </w:r>
      <w:r>
        <w:rPr>
          <w:vertAlign w:val="subscript"/>
        </w:rPr>
        <w:t xml:space="preserve">254</w:t>
      </w:r>
      <w:r>
        <w:t xml:space="preserve"> </w:t>
      </w:r>
      <w:r>
        <w:t xml:space="preserve">was a better indicator of disinfection byproduct formation potential (DBP-FP) than was DOC concentration or specific UV absorbance at 254 nm (SUVA</w:t>
      </w:r>
      <w:r>
        <w:rPr>
          <w:vertAlign w:val="subscript"/>
        </w:rPr>
        <w:t xml:space="preserve">254</w:t>
      </w:r>
      <w:r>
        <w:t xml:space="preserve">).</w:t>
      </w:r>
    </w:p>
    <w:p>
      <w:pPr>
        <w:pStyle w:val="FirstParagraph"/>
      </w:pPr>
      <w:r>
        <w:t xml:space="preserve"> </w:t>
      </w:r>
    </w:p>
    <w:p>
      <w:pPr>
        <w:pStyle w:val="BodyText"/>
      </w:pPr>
      <w:r>
        <w:t xml:space="preserve">Analyses of NOM quantity and quality over space and time clarified spatiotemporal patterns and drivers for NOM dynamics, which included these main findings:</w:t>
      </w:r>
    </w:p>
    <w:p>
      <w:pPr>
        <w:pStyle w:val="Compact"/>
        <w:numPr>
          <w:numId w:val="1004"/>
          <w:ilvl w:val="0"/>
        </w:numPr>
      </w:pPr>
      <w:r>
        <w:t xml:space="preserve">In each season, DOC concentration was loosely correlated to air temperature, with higher concentrations occurring at warmer temperatures and lower concentrations occurring at lower temperatures</w:t>
      </w:r>
    </w:p>
    <w:p>
      <w:pPr>
        <w:pStyle w:val="Compact"/>
        <w:numPr>
          <w:numId w:val="1004"/>
          <w:ilvl w:val="0"/>
        </w:numPr>
      </w:pPr>
      <w:r>
        <w:t xml:space="preserve">There was a seasonal shift in NOM character, from predominantly aliphatic in the dry season to predominantly aromatic in the wet season. And despite differences in seasonal patterns, averages in DOC concentration were equal (6 ± 3 mg/L) in both wet and dry seasons</w:t>
      </w:r>
    </w:p>
    <w:p>
      <w:pPr>
        <w:pStyle w:val="Compact"/>
        <w:numPr>
          <w:numId w:val="1004"/>
          <w:ilvl w:val="0"/>
        </w:numPr>
      </w:pPr>
      <w:r>
        <w:t xml:space="preserve">NOM quantity decreased from upstream to downstream in both seasons, as did NOM reactivity. However, while NOM molecular size and aromaticity decreased from low to high order streams in the wet season, the reverse was observed in the dry season</w:t>
      </w:r>
    </w:p>
    <w:p>
      <w:pPr>
        <w:pStyle w:val="Compact"/>
        <w:numPr>
          <w:numId w:val="1004"/>
          <w:ilvl w:val="0"/>
        </w:numPr>
      </w:pPr>
      <w:r>
        <w:t xml:space="preserve">In the Leech WSA, streams draining the west of the watershed had higher DOC concentrations of more reactive and aromatic NOM compared to streams draining from the east; the western sites also had the least area harvested (1980-2011) of the six sub-basins. While Random Forest (RF) variable importance measure (VIM) identified forest age and harvest history as important predictor variables for NOM aromaticity and molecular size, RF VIM determined that subsurface parent material was a key driver for NOM quantity as well as quality. The west of Leech watershed has predominantly Leech River formation (metasedimentary) as parent material, while the east is predominant wark gneiss parent material (metamorphic).</w:t>
      </w:r>
    </w:p>
    <w:p>
      <w:pPr>
        <w:pStyle w:val="FirstParagraph"/>
      </w:pPr>
      <w:r>
        <w:t xml:space="preserve"> </w:t>
      </w:r>
    </w:p>
    <w:p>
      <w:pPr>
        <w:pStyle w:val="Heading3"/>
      </w:pPr>
      <w:bookmarkStart w:id="135" w:name="X7b0ca7ef53ee0dc9e53a65aa5fc8bbb1d550f6f"/>
      <w:r>
        <w:t xml:space="preserve">Implications for drinking water supply and watershed management</w:t>
      </w:r>
      <w:bookmarkEnd w:id="135"/>
    </w:p>
    <w:p>
      <w:pPr>
        <w:pStyle w:val="FirstParagraph"/>
      </w:pPr>
      <w:r>
        <w:t xml:space="preserve">The quantity and quality of aqueous NOM varied over space and through time; understanding these patterns can help to inform source drinking water management decisions by providing insights to the origins, transport and fate of aqueous NOM and other parameters associated with it (e.g. metals, correlated DBPs). Treatability concerns could result from natural fluctuations in NOM character and concentrations across a water supply area and over time</w:t>
      </w:r>
      <w:r>
        <w:t xml:space="preserve"> </w:t>
      </w:r>
      <w:r>
        <w:t xml:space="preserve">(Levine, Yang, and Goodrich</w:t>
      </w:r>
      <w:r>
        <w:t xml:space="preserve"> </w:t>
      </w:r>
      <w:hyperlink w:anchor="ref-Levine2016">
        <w:r>
          <w:rPr>
            <w:rStyle w:val="Hyperlink"/>
          </w:rPr>
          <w:t xml:space="preserve">2016</w:t>
        </w:r>
      </w:hyperlink>
      <w:r>
        <w:t xml:space="preserve">)</w:t>
      </w:r>
      <w:r>
        <w:t xml:space="preserve">;</w:t>
      </w:r>
      <w:r>
        <w:t xml:space="preserve"> </w:t>
      </w:r>
      <w:r>
        <w:t xml:space="preserve">Li et al. (</w:t>
      </w:r>
      <w:hyperlink w:anchor="ref-Li2014">
        <w:r>
          <w:rPr>
            <w:rStyle w:val="Hyperlink"/>
          </w:rPr>
          <w:t xml:space="preserve">2014</w:t>
        </w:r>
      </w:hyperlink>
      <w:r>
        <w:t xml:space="preserve">)</w:t>
      </w:r>
      <w:r>
        <w:t xml:space="preserve">;</w:t>
      </w:r>
      <w:r>
        <w:t xml:space="preserve"> </w:t>
      </w:r>
      <w:r>
        <w:t xml:space="preserve">Yang et al. (</w:t>
      </w:r>
      <w:hyperlink w:anchor="ref-Yang2015">
        <w:r>
          <w:rPr>
            <w:rStyle w:val="Hyperlink"/>
          </w:rPr>
          <w:t xml:space="preserve">2015</w:t>
        </w:r>
      </w:hyperlink>
      <w:r>
        <w:t xml:space="preserve">)</w:t>
      </w:r>
      <w:r>
        <w:t xml:space="preserve">). The molecular composition and physical structure of NOM influence its functionality and reactivity, therefore different types of aqueous NOM have different DBP-FPs and aquatic ecosystem roles</w:t>
      </w:r>
      <w:r>
        <w:t xml:space="preserve"> </w:t>
      </w:r>
      <w:r>
        <w:t xml:space="preserve">(Cory, Boyer, and McKnight</w:t>
      </w:r>
      <w:r>
        <w:t xml:space="preserve"> </w:t>
      </w:r>
      <w:hyperlink w:anchor="ref-Cory2011">
        <w:r>
          <w:rPr>
            <w:rStyle w:val="Hyperlink"/>
          </w:rPr>
          <w:t xml:space="preserve">2011</w:t>
        </w:r>
      </w:hyperlink>
      <w:r>
        <w:t xml:space="preserve">; 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 Chow et al.</w:t>
      </w:r>
      <w:r>
        <w:t xml:space="preserve"> </w:t>
      </w:r>
      <w:hyperlink w:anchor="ref-Chow2008">
        <w:r>
          <w:rPr>
            <w:rStyle w:val="Hyperlink"/>
          </w:rPr>
          <w:t xml:space="preserve">2008</w:t>
        </w:r>
      </w:hyperlink>
      <w:r>
        <w:t xml:space="preserve">)</w:t>
      </w:r>
      <w:r>
        <w:t xml:space="preserve">. As NOM is an aquatic master variable, site-specific knowledge of relationships between NOM quantity and quality with other water quality parameters or contaminants (e.g. metals, nutrients, algae blooms) could allow for extrapolation and anticipation of treatment challenges.</w:t>
      </w:r>
    </w:p>
    <w:p>
      <w:pPr>
        <w:pStyle w:val="BodyText"/>
      </w:pPr>
      <w:r>
        <w:t xml:space="preserve"> </w:t>
      </w:r>
    </w:p>
    <w:p>
      <w:pPr>
        <w:pStyle w:val="BodyText"/>
      </w:pPr>
      <w:r>
        <w:t xml:space="preserve">Overall, DOC concentrations in the Leech WSA were higher than BC source water Guidelines suggest (4 mg/L). However, it should be noted that if Leech River water is transferred to a reservoir prior to treatment that NOM is likely to be photodegraded or diminished through microbial processing</w:t>
      </w:r>
      <w:r>
        <w:t xml:space="preserve"> </w:t>
      </w:r>
      <w:r>
        <w:t xml:space="preserve">(Kalbitz et al.</w:t>
      </w:r>
      <w:r>
        <w:t xml:space="preserve"> </w:t>
      </w:r>
      <w:hyperlink w:anchor="ref-Kalbitz2000">
        <w:r>
          <w:rPr>
            <w:rStyle w:val="Hyperlink"/>
          </w:rPr>
          <w:t xml:space="preserve">2000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w:t>
      </w:r>
      <w:r>
        <w:t xml:space="preserve">. While it is important to understand the source, transport and fate of aqueous NOM (and its associated parameters) in the Leech WSA, the fluvial source water quality is unlikely to directly reflect the water at the intake tower due to reservoir residence times and the effects of photodegradation, physiochemical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pPr>
        <w:pStyle w:val="BodyText"/>
      </w:pPr>
      <w:r>
        <w:t xml:space="preserve"> </w:t>
      </w:r>
    </w:p>
    <w:p>
      <w:pPr>
        <w:pStyle w:val="BodyText"/>
      </w:pPr>
      <w:r>
        <w:t xml:space="preserve">It will be informative to explore mixing studies between Leech River water with a balancing reservoir or other tributary in Sooke basin. The Leech River will introduce new material and new conditions (e.g. different temperatures, dissolved oxygen, carbonate for buffering or organic acids altering pH, new microbiota). As mixing is likely to change source water attributes, a balancing reservoir to stabilize between river and reservoir may be extremely useful. Future studies of Sooke Reservoir limnology and watershed water balance would be helpful to anticipate potential biogeochemical interactions and possible treatment challenges.</w:t>
      </w:r>
    </w:p>
    <w:p>
      <w:pPr>
        <w:pStyle w:val="BodyText"/>
      </w:pPr>
      <w:r>
        <w:t xml:space="preserve"> </w:t>
      </w:r>
    </w:p>
    <w:p>
      <w:pPr>
        <w:pStyle w:val="Heading3"/>
      </w:pPr>
      <w:bookmarkStart w:id="136" w:name="concluding-remarks"/>
      <w:r>
        <w:t xml:space="preserve">Concluding remarks</w:t>
      </w:r>
      <w:bookmarkEnd w:id="136"/>
    </w:p>
    <w:p>
      <w:pPr>
        <w:pStyle w:val="FirstParagraph"/>
      </w:pPr>
      <w:r>
        <w:t xml:space="preserve">This research contributes to baseline understanding of spatiotemporal dynamics of NOM quantity and quality across the GVWSA second growth forested watershed. These baseline data can be applied in further exploration of forest management strategies, such as fire fuel management, and impacts on source water quality and supply. For example, knowing that hydrologic connectivity to the terrestrial landscape increases throughout the wet season suggests that there may be a delay in measurable water quality changes following experimental forest treatments (e.g. prescribed burning, closed canopy fire break thinning, etc.) or natural disturbances (e.g. wasting events, wildfire). Therefore, hydrologic and water quality monitoring programs could be tailored to this consideration.</w:t>
      </w:r>
    </w:p>
    <w:p>
      <w:pPr>
        <w:pStyle w:val="BodyText"/>
      </w:pPr>
      <w:r>
        <w:t xml:space="preserve"> </w:t>
      </w:r>
    </w:p>
    <w:p>
      <w:pPr>
        <w:pStyle w:val="BodyText"/>
      </w:pPr>
      <w:r>
        <w:t xml:space="preserve">Further evaluation of water quality data with hydrometeorological variables could foster the establishment of operational risk indices that link to current monitoring programs (i.e. wildfire risk index). And coupling Vertical Rack sampling methods with hydrometric monitoring and rating curves would contribute to estimates of fluvial mass transport and loads (e.g. of contaminants).</w:t>
      </w:r>
    </w:p>
    <w:p>
      <w:pPr>
        <w:pStyle w:val="BodyText"/>
      </w:pPr>
      <w:r>
        <w:t xml:space="preserve"> </w:t>
      </w:r>
    </w:p>
    <w:p>
      <w:pPr>
        <w:pStyle w:val="BodyText"/>
      </w:pPr>
      <w:r>
        <w:t xml:space="preserve">Although this research was site-specific to the GVWSA, results – including sampling strategies and spatial and temporal variation in water quality – can be applied in other forested hydrology water quality studies that examine adjacent basins and nested catchments.</w:t>
      </w:r>
    </w:p>
    <w:p>
      <w:pPr>
        <w:pStyle w:val="BodyText"/>
      </w:pPr>
      <w:r>
        <w:t xml:space="preserve"> </w:t>
      </w:r>
    </w:p>
    <w:p>
      <w:pPr>
        <w:pStyle w:val="Heading1"/>
      </w:pPr>
      <w:bookmarkStart w:id="137" w:name="references"/>
      <w:r>
        <w:t xml:space="preserve">References</w:t>
      </w:r>
      <w:bookmarkEnd w:id="137"/>
    </w:p>
    <w:p>
      <w:pPr>
        <w:pStyle w:val="Heading1"/>
      </w:pPr>
      <w:bookmarkStart w:id="138" w:name="appendices"/>
      <w:r>
        <w:t xml:space="preserve">Appendices</w:t>
      </w:r>
      <w:bookmarkEnd w:id="138"/>
    </w:p>
    <w:p>
      <w:pPr>
        <w:pStyle w:val="Heading7"/>
      </w:pPr>
      <w:bookmarkStart w:id="139" w:name="Xe94dc613e79104e648a7e62ba8d389c33fd5369"/>
      <w:r>
        <w:t xml:space="preserve">NSERC forWater Network &amp; the Capital Regional District</w:t>
      </w:r>
      <w:bookmarkEnd w:id="139"/>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economics with the goal of providing a framework for treatment demands as they relate to forested source water.</w:t>
      </w:r>
    </w:p>
    <w:p>
      <w:pPr>
        <w:pStyle w:val="BodyText"/>
      </w:pPr>
      <w:r>
        <w:t xml:space="preserve"> </w:t>
      </w:r>
    </w:p>
    <w:p>
      <w:pPr>
        <w:pStyle w:val="Heading8"/>
      </w:pPr>
      <w:bookmarkStart w:id="140" w:name="X98dc39d856ad51b9fee1476a54ede95168b6c62"/>
      <w:r>
        <w:t xml:space="preserve">Greater Victoria Regional Water Supply System, CRD</w:t>
      </w:r>
      <w:bookmarkEnd w:id="140"/>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 </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regulating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 </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deactivate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 </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 </w:t>
      </w:r>
    </w:p>
    <w:p>
      <w:pPr>
        <w:pStyle w:val="BodyText"/>
      </w:pPr>
      <w:r>
        <w:t xml:space="preserve">In 1977, the CRD obtained a provincial water license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 </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41" w:name="Xcf21184d8ccce3de636021e865985ac80b4f9f9"/>
      <w:r>
        <w:t xml:space="preserve">Leech water supply area monitoring sites: details and observations</w:t>
      </w:r>
      <w:bookmarkEnd w:id="141"/>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around 2500 mm/yr. This areas has a strong seasonal distribution of rainfall: approximately 90% of rain falls from September to April, with only about 10% of annual rainfall occurring from May to August. Across the Leech, elevation ranges from approximately 200 m above sea level (asl), near the Leech Tunnel, to 941 m asl in the centre of the watershed, at the top of Survey Mountain. While the majority of precipitation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measurements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unreliable.</w:t>
      </w:r>
    </w:p>
    <w:p>
      <w:pPr>
        <w:pStyle w:val="BodyText"/>
      </w:pPr>
      <w:r>
        <w:t xml:space="preserve"> </w:t>
      </w:r>
    </w:p>
    <w:p>
      <w:pPr>
        <w:pStyle w:val="BodyText"/>
      </w:pPr>
      <w:r>
        <w:t xml:space="preserve">Overall, the hydrology of the LWSA is poorly understood, as are water quality dynamics. In the mid-1980s, some water was transferred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2" w:name="weeks-creek-site-1"/>
      <w:r>
        <w:t xml:space="preserve">Weeks Creek (site 1)</w:t>
      </w:r>
      <w:bookmarkEnd w:id="142"/>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t xml:space="preserve">(Figure</w:t>
      </w:r>
      <w:r>
        <w:t xml:space="preserve"> </w:t>
      </w:r>
      <w:r>
        <w:t xml:space="preserve">28</w:t>
      </w:r>
      <w:r>
        <w:t xml:space="preserve">).</w:t>
      </w:r>
    </w:p>
    <w:p>
      <w:pPr>
        <w:pStyle w:val="CaptionedFigure"/>
      </w:pPr>
      <w:r>
        <w:drawing>
          <wp:inline>
            <wp:extent cx="5943600" cy="4457700"/>
            <wp:effectExtent b="0" l="0" r="0" t="0"/>
            <wp:docPr descr="Figure 28: Photo of Weeks Creek, site 1 in the Leech WSA" title="" id="1" name="Picture"/>
            <a:graphic>
              <a:graphicData uri="http://schemas.openxmlformats.org/drawingml/2006/picture">
                <pic:pic>
                  <pic:nvPicPr>
                    <pic:cNvPr descr="R-inputs_UBC-forWater-MSc_HMc/images/appendix/hydro-homies.jpg" id="0" name="Picture"/>
                    <pic:cNvPicPr>
                      <a:picLocks noChangeArrowheads="1" noChangeAspect="1"/>
                    </pic:cNvPicPr>
                  </pic:nvPicPr>
                  <pic:blipFill>
                    <a:blip r:embed="rId14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28: Photo of Weeks Creek, site 1 in the Leech WSA</w:t>
      </w:r>
    </w:p>
    <w:p>
      <w:pPr>
        <w:pStyle w:val="BodyText"/>
      </w:pPr>
      <w:r>
        <w:t xml:space="preserve"> </w:t>
      </w:r>
    </w:p>
    <w:p>
      <w:pPr>
        <w:pStyle w:val="Heading9"/>
      </w:pPr>
      <w:bookmarkStart w:id="144" w:name="chris-creek-site-2"/>
      <w:r>
        <w:t xml:space="preserve">Chris Creek (site 2)</w:t>
      </w:r>
      <w:bookmarkEnd w:id="144"/>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associated flooding in January 2020.</w:t>
      </w:r>
    </w:p>
    <w:p>
      <w:pPr>
        <w:pStyle w:val="BodyText"/>
      </w:pPr>
      <w:r>
        <w:t xml:space="preserve"> </w:t>
      </w:r>
    </w:p>
    <w:p>
      <w:pPr>
        <w:pStyle w:val="Heading9"/>
      </w:pPr>
      <w:bookmarkStart w:id="145" w:name="leech-head-site-3"/>
      <w:r>
        <w:t xml:space="preserve">Leech Head (site 3)</w:t>
      </w:r>
      <w:bookmarkEnd w:id="145"/>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6" w:name="cragg-creek-site-4"/>
      <w:r>
        <w:t xml:space="preserve">Cragg Creek (site 4)</w:t>
      </w:r>
      <w:bookmarkEnd w:id="146"/>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p>
    <w:p>
      <w:pPr>
        <w:pStyle w:val="BodyText"/>
      </w:pPr>
      <w:r>
        <w:t xml:space="preserve"> </w:t>
      </w:r>
    </w:p>
    <w:p>
      <w:pPr>
        <w:pStyle w:val="CaptionedFigure"/>
      </w:pPr>
      <w:r>
        <w:drawing>
          <wp:inline>
            <wp:extent cx="3642637" cy="4337581"/>
            <wp:effectExtent b="0" l="0" r="0" t="0"/>
            <wp:docPr descr="Figure 29:  Draparnaldia species of green algae (nick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7"/>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Draparnaldia species of green algae (nicknamed</w:t>
      </w:r>
      <w:r>
        <w:t xml:space="preserve"> </w:t>
      </w:r>
      <w:r>
        <w:t xml:space="preserve">‘</w:t>
      </w:r>
      <w:r>
        <w:t xml:space="preserve">Christmas Tree</w:t>
      </w:r>
      <w:r>
        <w:t xml:space="preserve">’</w:t>
      </w:r>
      <w:r>
        <w:t xml:space="preserve">) identified in a fall bloom at Cragg Creek (site 4) November 2019</w:t>
      </w:r>
    </w:p>
    <w:p>
      <w:pPr>
        <w:pStyle w:val="BodyText"/>
      </w:pPr>
      <w:r>
        <w:t xml:space="preserve"> </w:t>
      </w:r>
    </w:p>
    <w:p>
      <w:pPr>
        <w:pStyle w:val="Heading9"/>
      </w:pPr>
      <w:bookmarkStart w:id="148" w:name="west-leech-site-5"/>
      <w:r>
        <w:t xml:space="preserve">West Leech (site 5)</w:t>
      </w:r>
      <w:bookmarkEnd w:id="148"/>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straight channel with relatively high width-to-depth ratio and pool-riffle morphology. The West Leech site is approximately 120 m upstream of the confluence with Leech mainstem (~1.5 km downstream of the confluence of Cragg Creek with 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pPr>
        <w:pStyle w:val="BodyText"/>
      </w:pPr>
      <w:r>
        <w:t xml:space="preserve"> </w:t>
      </w:r>
    </w:p>
    <w:p>
      <w:pPr>
        <w:pStyle w:val="Heading9"/>
      </w:pPr>
      <w:bookmarkStart w:id="149" w:name="leech-tunnel-site-6"/>
      <w:r>
        <w:t xml:space="preserve">Leech Tunnel (site 6)</w:t>
      </w:r>
      <w:bookmarkEnd w:id="149"/>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it is deep. The Tunnel site was approximately 1 km downstream of the West Leech confluence.</w:t>
      </w:r>
    </w:p>
    <w:p>
      <w:pPr>
        <w:pStyle w:val="BodyText"/>
      </w:pPr>
      <w:r>
        <w:t xml:space="preserve"> </w:t>
      </w:r>
    </w:p>
    <w:p>
      <w:pPr>
        <w:pStyle w:val="Heading8"/>
      </w:pPr>
      <w:bookmarkStart w:id="150" w:name="field-protocol"/>
      <w:r>
        <w:t xml:space="preserve">Field protocol</w:t>
      </w:r>
      <w:bookmarkEnd w:id="150"/>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51" w:name="Xc11f448e19705921da6bd385e4f5101a22852c0"/>
      <w:r>
        <w:t xml:space="preserve">Weather and Climate (Chapter 2 results extended, ancillary data)</w:t>
      </w:r>
      <w:bookmarkEnd w:id="151"/>
    </w:p>
    <w:p>
      <w:pPr>
        <w:pStyle w:val="Heading8"/>
      </w:pPr>
      <w:bookmarkStart w:id="152" w:name="climate-normals-and-weather-anomalies"/>
      <w:r>
        <w:t xml:space="preserve">Climate normals and weather anomalies</w:t>
      </w:r>
      <w:bookmarkEnd w:id="152"/>
    </w:p>
    <w:p>
      <w:pPr>
        <w:pStyle w:val="FirstParagraph"/>
      </w:pPr>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Creek. Res.) and northeast (Shawnigan Lake) of the GVWSA (Table</w:t>
      </w:r>
      <w:r>
        <w:t xml:space="preserve"> </w:t>
      </w:r>
      <w:r>
        <w:t xml:space="preserve">20</w:t>
      </w:r>
      <w:r>
        <w:t xml:space="preserve">).</w:t>
      </w:r>
    </w:p>
    <w:p>
      <w:pPr>
        <w:pStyle w:val="BodyText"/>
      </w:pPr>
      <w:r>
        <w:t xml:space="preserve"> </w:t>
      </w:r>
    </w:p>
    <w:p>
      <w:pPr>
        <w:pStyle w:val="TableCaption"/>
      </w:pPr>
      <w:r>
        <w:t xml:space="preserve">Table 20: Pacific Climate Impacts Consortium British Columbia weather stations used to establish weather anomalies and departures from normal for the study period from Oct. 2018 to Feb. 2020</w:t>
      </w:r>
    </w:p>
    <w:tbl>
      <w:tblPr>
        <w:tblStyle w:val="Table"/>
        <w:tblW w:type="pct" w:w="0.0"/>
        <w:tblLook w:firstRow="1"/>
        <w:tblCaption w:val="Table 20: Pacific Climate Impacts Consortium British Columbia weather stations used to establish weather anomalies and departures from normal for the study period from Oct. 2018 to Feb. 2020"/>
      </w:tblPr>
      <w:tblGrid/>
      <w:tr>
        <w:trPr>
          <w:cnfStyle w:firstRow="1"/>
        </w:trPr>
        <w:tc>
          <w:tcPr>
            <w:tcBorders>
              <w:bottom w:val="single"/>
            </w:tcBorders>
            <w:vAlign w:val="bottom"/>
          </w:tcPr>
          <w:p>
            <w:pPr>
              <w:pStyle w:val="Compact"/>
              <w:jc w:val="left"/>
            </w:pPr>
            <w:r>
              <w:t xml:space="preserve">Station_name</w:t>
            </w:r>
          </w:p>
        </w:tc>
        <w:tc>
          <w:tcPr>
            <w:tcBorders>
              <w:bottom w:val="single"/>
            </w:tcBorders>
            <w:vAlign w:val="bottom"/>
          </w:tcPr>
          <w:p>
            <w:pPr>
              <w:pStyle w:val="Compact"/>
              <w:jc w:val="right"/>
            </w:pPr>
            <w:r>
              <w:t xml:space="preserve">Elevation_asl</w:t>
            </w:r>
          </w:p>
        </w:tc>
        <w:tc>
          <w:tcPr>
            <w:tcBorders>
              <w:bottom w:val="single"/>
            </w:tcBorders>
            <w:vAlign w:val="bottom"/>
          </w:tcPr>
          <w:p>
            <w:pPr>
              <w:pStyle w:val="Compact"/>
              <w:jc w:val="right"/>
            </w:pPr>
            <w:r>
              <w:t xml:space="preserve">Latitude (°W)</w:t>
            </w:r>
          </w:p>
        </w:tc>
        <w:tc>
          <w:tcPr>
            <w:tcBorders>
              <w:bottom w:val="single"/>
            </w:tcBorders>
            <w:vAlign w:val="bottom"/>
          </w:tcPr>
          <w:p>
            <w:pPr>
              <w:pStyle w:val="Compact"/>
              <w:jc w:val="right"/>
            </w:pPr>
            <w:r>
              <w:t xml:space="preserve">Longitude (°N)</w:t>
            </w:r>
          </w:p>
        </w:tc>
      </w:tr>
      <w:tr>
        <w:tc>
          <w:p>
            <w:pPr>
              <w:pStyle w:val="Compact"/>
              <w:jc w:val="left"/>
            </w:pPr>
            <w:r>
              <w:t xml:space="preserve">Bear Ck Res.</w:t>
            </w:r>
          </w:p>
        </w:tc>
        <w:tc>
          <w:p>
            <w:pPr>
              <w:pStyle w:val="Compact"/>
              <w:jc w:val="right"/>
            </w:pPr>
            <w:r>
              <w:t xml:space="preserve">419</w:t>
            </w:r>
          </w:p>
        </w:tc>
        <w:tc>
          <w:p>
            <w:pPr>
              <w:pStyle w:val="Compact"/>
              <w:jc w:val="right"/>
            </w:pPr>
            <w:r>
              <w:t xml:space="preserve">-123.9139</w:t>
            </w:r>
          </w:p>
        </w:tc>
        <w:tc>
          <w:p>
            <w:pPr>
              <w:pStyle w:val="Compact"/>
              <w:jc w:val="right"/>
            </w:pPr>
            <w:r>
              <w:t xml:space="preserve">48.50333</w:t>
            </w:r>
          </w:p>
        </w:tc>
      </w:tr>
      <w:tr>
        <w:tc>
          <w:p>
            <w:pPr>
              <w:pStyle w:val="Compact"/>
              <w:jc w:val="left"/>
            </w:pPr>
            <w:r>
              <w:t xml:space="preserve">Shawnigan lake</w:t>
            </w:r>
          </w:p>
        </w:tc>
        <w:tc>
          <w:p>
            <w:pPr>
              <w:pStyle w:val="Compact"/>
              <w:jc w:val="right"/>
            </w:pPr>
            <w:r>
              <w:t xml:space="preserve">138</w:t>
            </w:r>
          </w:p>
        </w:tc>
        <w:tc>
          <w:p>
            <w:pPr>
              <w:pStyle w:val="Compact"/>
              <w:jc w:val="right"/>
            </w:pPr>
            <w:r>
              <w:t xml:space="preserve">-123.6767</w:t>
            </w:r>
          </w:p>
        </w:tc>
        <w:tc>
          <w:p>
            <w:pPr>
              <w:pStyle w:val="Compact"/>
              <w:jc w:val="right"/>
            </w:pPr>
            <w:r>
              <w:t xml:space="preserve">48.64722</w:t>
            </w:r>
          </w:p>
        </w:tc>
      </w:tr>
    </w:tbl>
    <w:p>
      <w:pPr>
        <w:pStyle w:val="BodyText"/>
      </w:pPr>
      <w:r>
        <w:t xml:space="preserve"> </w:t>
      </w:r>
    </w:p>
    <w:p>
      <w:pPr>
        <w:pStyle w:val="BodyText"/>
      </w:pPr>
      <w:r>
        <w:t xml:space="preserve">Based on the PCIC weather anomaly data, the study period (October 2018 through to February 2020) was 0.56° C warmer and 13.4% drier than normal (Table</w:t>
      </w:r>
      <w:r>
        <w:t xml:space="preserve"> </w:t>
      </w:r>
      <w:r>
        <w:t xml:space="preserve">21</w:t>
      </w:r>
      <w:r>
        <w:t xml:space="preserve">). On average, each of the sampled wet seasons were drier than normal (26% and 5%) and the dry season was 1.4% wetter than normal. Prior to the start of the project, the summer/dry-season was 38% drier than normal and 1.6°C warmer.</w:t>
      </w:r>
    </w:p>
    <w:p>
      <w:pPr>
        <w:pStyle w:val="BodyText"/>
      </w:pPr>
      <w:r>
        <w:t xml:space="preserve"> </w:t>
      </w:r>
    </w:p>
    <w:p>
      <w:pPr>
        <w:pStyle w:val="TableCaption"/>
      </w:pPr>
      <w:r>
        <w:t xml:space="preserve">Table 21: Average weather departures from climate normals from Bear Creek Reservoir and Shawnigan Lake weather stations</w:t>
      </w:r>
    </w:p>
    <w:tbl>
      <w:tblPr>
        <w:tblStyle w:val="Table"/>
        <w:tblW w:type="pct" w:w="5000.0"/>
        <w:tblLook w:firstRow="1"/>
        <w:tblCaption w:val="Table 21: Average weather departures from climate normals from Bear Creek Reservoir and Shawnigan Lake weather stations"/>
      </w:tblPr>
      <w:tblGrid>
        <w:gridCol w:w="1784"/>
        <w:gridCol w:w="1282"/>
        <w:gridCol w:w="1505"/>
        <w:gridCol w:w="1561"/>
        <w:gridCol w:w="1784"/>
      </w:tblGrid>
      <w:tr>
        <w:trPr>
          <w:cnfStyle w:firstRow="1"/>
        </w:trPr>
        <w:tc>
          <w:tcPr>
            <w:tcBorders>
              <w:bottom w:val="single"/>
            </w:tcBorders>
            <w:vAlign w:val="bottom"/>
          </w:tcPr>
          <w:p>
            <w:pPr>
              <w:pStyle w:val="Compact"/>
              <w:jc w:val="left"/>
            </w:pPr>
            <w:r>
              <w:t xml:space="preserve">Sampling season</w:t>
            </w:r>
          </w:p>
        </w:tc>
        <w:tc>
          <w:tcPr>
            <w:tcBorders>
              <w:bottom w:val="single"/>
            </w:tcBorders>
            <w:vAlign w:val="bottom"/>
          </w:tcPr>
          <w:p>
            <w:pPr>
              <w:pStyle w:val="Compact"/>
              <w:jc w:val="left"/>
            </w:pPr>
            <w:r>
              <w:t xml:space="preserve">Date range</w:t>
            </w:r>
          </w:p>
        </w:tc>
        <w:tc>
          <w:tcPr>
            <w:tcBorders>
              <w:bottom w:val="single"/>
            </w:tcBorders>
            <w:vAlign w:val="bottom"/>
          </w:tcPr>
          <w:p>
            <w:pPr>
              <w:pStyle w:val="Compact"/>
              <w:jc w:val="right"/>
            </w:pPr>
            <w:r>
              <w:t xml:space="preserve">Temperature departure (°C)</w:t>
            </w:r>
          </w:p>
        </w:tc>
        <w:tc>
          <w:tcPr>
            <w:tcBorders>
              <w:bottom w:val="single"/>
            </w:tcBorders>
            <w:vAlign w:val="bottom"/>
          </w:tcPr>
          <w:p>
            <w:pPr>
              <w:pStyle w:val="Compact"/>
              <w:jc w:val="right"/>
            </w:pPr>
            <w:r>
              <w:t xml:space="preserve">Precipitation departure (%)</w:t>
            </w:r>
          </w:p>
        </w:tc>
        <w:tc>
          <w:tcPr>
            <w:tcBorders>
              <w:bottom w:val="single"/>
            </w:tcBorders>
            <w:vAlign w:val="bottom"/>
          </w:tcPr>
          <w:p>
            <w:pPr>
              <w:pStyle w:val="Compact"/>
              <w:jc w:val="right"/>
            </w:pPr>
            <w:r>
              <w:t xml:space="preserve">Precipitation departure (mm/mo)</w:t>
            </w:r>
          </w:p>
        </w:tc>
      </w:tr>
      <w:tr>
        <w:tc>
          <w:p>
            <w:pPr>
              <w:pStyle w:val="Compact"/>
              <w:jc w:val="left"/>
            </w:pPr>
            <w:r>
              <w:t xml:space="preserve">Dry period before project start</w:t>
            </w:r>
          </w:p>
        </w:tc>
        <w:tc>
          <w:p>
            <w:pPr>
              <w:pStyle w:val="Compact"/>
              <w:jc w:val="left"/>
            </w:pPr>
            <w:r>
              <w:t xml:space="preserve">June 2018 - Sept. 2018</w:t>
            </w:r>
          </w:p>
        </w:tc>
        <w:tc>
          <w:p>
            <w:pPr>
              <w:pStyle w:val="Compact"/>
              <w:jc w:val="right"/>
            </w:pPr>
            <w:r>
              <w:t xml:space="preserve">1.58</w:t>
            </w:r>
          </w:p>
        </w:tc>
        <w:tc>
          <w:p>
            <w:pPr>
              <w:pStyle w:val="Compact"/>
              <w:jc w:val="right"/>
            </w:pPr>
            <w:r>
              <w:t xml:space="preserve">-37.9</w:t>
            </w:r>
          </w:p>
        </w:tc>
        <w:tc>
          <w:p>
            <w:pPr>
              <w:pStyle w:val="Compact"/>
              <w:jc w:val="right"/>
            </w:pPr>
            <w:r>
              <w:t xml:space="preserve">-14.8</w:t>
            </w:r>
          </w:p>
        </w:tc>
      </w:tr>
      <w:tr>
        <w:tc>
          <w:p>
            <w:pPr>
              <w:pStyle w:val="Compact"/>
              <w:jc w:val="left"/>
            </w:pPr>
            <w:r>
              <w:t xml:space="preserve">2018/2019 wet season</w:t>
            </w:r>
          </w:p>
        </w:tc>
        <w:tc>
          <w:p>
            <w:pPr>
              <w:pStyle w:val="Compact"/>
              <w:jc w:val="left"/>
            </w:pPr>
            <w:r>
              <w:t xml:space="preserve">Oct. 2018 - May 2019</w:t>
            </w:r>
          </w:p>
        </w:tc>
        <w:tc>
          <w:p>
            <w:pPr>
              <w:pStyle w:val="Compact"/>
              <w:jc w:val="right"/>
            </w:pPr>
            <w:r>
              <w:t xml:space="preserve">0.48</w:t>
            </w:r>
          </w:p>
        </w:tc>
        <w:tc>
          <w:p>
            <w:pPr>
              <w:pStyle w:val="Compact"/>
              <w:jc w:val="right"/>
            </w:pPr>
            <w:r>
              <w:t xml:space="preserve">-26.2</w:t>
            </w:r>
          </w:p>
        </w:tc>
        <w:tc>
          <w:p>
            <w:pPr>
              <w:pStyle w:val="Compact"/>
              <w:jc w:val="right"/>
            </w:pPr>
            <w:r>
              <w:t xml:space="preserve">-25.5</w:t>
            </w:r>
          </w:p>
        </w:tc>
      </w:tr>
      <w:tr>
        <w:tc>
          <w:p>
            <w:pPr>
              <w:pStyle w:val="Compact"/>
              <w:jc w:val="left"/>
            </w:pPr>
            <w:r>
              <w:t xml:space="preserve">2019 dry season</w:t>
            </w:r>
          </w:p>
        </w:tc>
        <w:tc>
          <w:p>
            <w:pPr>
              <w:pStyle w:val="Compact"/>
              <w:jc w:val="left"/>
            </w:pPr>
            <w:r>
              <w:t xml:space="preserve">June 2019 - Sept. 2019</w:t>
            </w:r>
          </w:p>
        </w:tc>
        <w:tc>
          <w:p>
            <w:pPr>
              <w:pStyle w:val="Compact"/>
              <w:jc w:val="right"/>
            </w:pPr>
            <w:r>
              <w:t xml:space="preserve">0.94</w:t>
            </w:r>
          </w:p>
        </w:tc>
        <w:tc>
          <w:p>
            <w:pPr>
              <w:pStyle w:val="Compact"/>
              <w:jc w:val="right"/>
            </w:pPr>
            <w:r>
              <w:t xml:space="preserve">1.4</w:t>
            </w:r>
          </w:p>
        </w:tc>
        <w:tc>
          <w:p>
            <w:pPr>
              <w:pStyle w:val="Compact"/>
              <w:jc w:val="right"/>
            </w:pPr>
            <w:r>
              <w:t xml:space="preserve">6.4</w:t>
            </w:r>
          </w:p>
        </w:tc>
      </w:tr>
      <w:tr>
        <w:tc>
          <w:p>
            <w:pPr>
              <w:pStyle w:val="Compact"/>
              <w:jc w:val="left"/>
            </w:pPr>
            <w:r>
              <w:t xml:space="preserve">2019/2020 wet season</w:t>
            </w:r>
          </w:p>
        </w:tc>
        <w:tc>
          <w:p>
            <w:pPr>
              <w:pStyle w:val="Compact"/>
              <w:jc w:val="left"/>
            </w:pPr>
            <w:r>
              <w:t xml:space="preserve">Oct. 2019 - Feb. 2020</w:t>
            </w:r>
          </w:p>
        </w:tc>
        <w:tc>
          <w:p>
            <w:pPr>
              <w:pStyle w:val="Compact"/>
              <w:jc w:val="right"/>
            </w:pPr>
            <w:r>
              <w:t xml:space="preserve">0.38</w:t>
            </w:r>
          </w:p>
        </w:tc>
        <w:tc>
          <w:p>
            <w:pPr>
              <w:pStyle w:val="Compact"/>
              <w:jc w:val="right"/>
            </w:pPr>
            <w:r>
              <w:t xml:space="preserve">-4.6</w:t>
            </w:r>
          </w:p>
        </w:tc>
        <w:tc>
          <w:p>
            <w:pPr>
              <w:pStyle w:val="Compact"/>
              <w:jc w:val="right"/>
            </w:pPr>
            <w:r>
              <w:t xml:space="preserve">10.2</w:t>
            </w:r>
          </w:p>
        </w:tc>
      </w:tr>
      <w:tr>
        <w:tc>
          <w:p>
            <w:pPr>
              <w:pStyle w:val="Compact"/>
              <w:jc w:val="left"/>
            </w:pPr>
            <w:r>
              <w:t xml:space="preserve">Study period</w:t>
            </w:r>
          </w:p>
        </w:tc>
        <w:tc>
          <w:p>
            <w:pPr>
              <w:pStyle w:val="Compact"/>
              <w:jc w:val="left"/>
            </w:pPr>
            <w:r>
              <w:t xml:space="preserve">Oct. 2018 - Feb. 2020</w:t>
            </w:r>
          </w:p>
        </w:tc>
        <w:tc>
          <w:p>
            <w:pPr>
              <w:pStyle w:val="Compact"/>
              <w:jc w:val="right"/>
            </w:pPr>
            <w:r>
              <w:t xml:space="preserve">0.56</w:t>
            </w:r>
          </w:p>
        </w:tc>
        <w:tc>
          <w:p>
            <w:pPr>
              <w:pStyle w:val="Compact"/>
              <w:jc w:val="right"/>
            </w:pPr>
            <w:r>
              <w:t xml:space="preserve">-13.3</w:t>
            </w:r>
          </w:p>
        </w:tc>
        <w:tc>
          <w:p>
            <w:pPr>
              <w:pStyle w:val="Compact"/>
              <w:jc w:val="right"/>
            </w:pPr>
            <w:r>
              <w:t xml:space="preserve">-7.5</w:t>
            </w:r>
          </w:p>
        </w:tc>
      </w:tr>
    </w:tbl>
    <w:p>
      <w:pPr>
        <w:pStyle w:val="BodyText"/>
      </w:pPr>
      <w:r>
        <w:t xml:space="preserve"> </w:t>
      </w:r>
    </w:p>
    <w:p>
      <w:pPr>
        <w:pStyle w:val="BodyText"/>
      </w:pPr>
      <w:r>
        <w:t xml:space="preserve">Most, though not all, months had weather anomalies that were warmer and drier than normal (Table</w:t>
      </w:r>
      <w:r>
        <w:t xml:space="preserve"> </w:t>
      </w:r>
      <w:r>
        <w:t xml:space="preserve">22</w:t>
      </w:r>
      <w:r>
        <w:t xml:space="preserve">). In the 4.5 months prior to the start of the project, it was 1.6° C warmer and 38 % drier than normal; the 2018 wet season (October 2018 - April 2019) was 0.5° C warmer and 26 % drier than normal; the 2019 dry season (May - Oct) was 0.9° C warmer and 1 % wetter than normal; and the 2019 wet season was 0.38° C warmer and 5% drier than normal, with two precipitation anomalies that departed from normal by more than 100%: Sept 2019 was 108% wetter than normal and January 2020 was 136% wetter than normal)</w:t>
      </w:r>
    </w:p>
    <w:p>
      <w:pPr>
        <w:pStyle w:val="BodyText"/>
      </w:pPr>
      <w:r>
        <w:t xml:space="preserve"> </w:t>
      </w:r>
    </w:p>
    <w:p>
      <w:pPr>
        <w:pStyle w:val="TableCaption"/>
      </w:pPr>
      <w:r>
        <w:t xml:space="preserve">Table 22: Average monthly weather anomalies from 1970 onward at Bear Creek Reservoir and Shawnigan Lake weather stations</w:t>
      </w:r>
    </w:p>
    <w:tbl>
      <w:tblPr>
        <w:tblStyle w:val="Table"/>
        <w:tblW w:type="pct" w:w="5000.0"/>
        <w:tblLook w:firstRow="1"/>
        <w:tblCaption w:val="Table 22: Average monthly weather anomalies from 1970 onward at Bear Creek Reservoir and Shawnigan Lake weather stations"/>
      </w:tblPr>
      <w:tblGrid>
        <w:gridCol w:w="275"/>
        <w:gridCol w:w="550"/>
        <w:gridCol w:w="1430"/>
        <w:gridCol w:w="1430"/>
        <w:gridCol w:w="1540"/>
        <w:gridCol w:w="1760"/>
        <w:gridCol w:w="165"/>
        <w:gridCol w:w="165"/>
        <w:gridCol w:w="165"/>
        <w:gridCol w:w="220"/>
        <w:gridCol w:w="220"/>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Month</w:t>
            </w:r>
          </w:p>
        </w:tc>
        <w:tc>
          <w:tcPr>
            <w:tcBorders>
              <w:bottom w:val="single"/>
            </w:tcBorders>
            <w:vAlign w:val="bottom"/>
          </w:tcPr>
          <w:p>
            <w:pPr>
              <w:pStyle w:val="Compact"/>
              <w:jc w:val="right"/>
            </w:pPr>
            <w:r>
              <w:t xml:space="preserve">Min. temp. departure (°C)</w:t>
            </w:r>
          </w:p>
        </w:tc>
        <w:tc>
          <w:tcPr>
            <w:tcBorders>
              <w:bottom w:val="single"/>
            </w:tcBorders>
            <w:vAlign w:val="bottom"/>
          </w:tcPr>
          <w:p>
            <w:pPr>
              <w:pStyle w:val="Compact"/>
              <w:jc w:val="right"/>
            </w:pPr>
            <w:r>
              <w:t xml:space="preserve">Max. temp. departure (°C)</w:t>
            </w:r>
          </w:p>
        </w:tc>
        <w:tc>
          <w:tcPr>
            <w:tcBorders>
              <w:bottom w:val="single"/>
            </w:tcBorders>
            <w:vAlign w:val="bottom"/>
          </w:tcPr>
          <w:p>
            <w:pPr>
              <w:pStyle w:val="Compact"/>
              <w:jc w:val="right"/>
            </w:pPr>
            <w:r>
              <w:t xml:space="preserve">Precipitation departure (%)</w:t>
            </w:r>
          </w:p>
        </w:tc>
        <w:tc>
          <w:tcPr>
            <w:tcBorders>
              <w:bottom w:val="single"/>
            </w:tcBorders>
            <w:vAlign w:val="bottom"/>
          </w:tcPr>
          <w:p>
            <w:pPr>
              <w:pStyle w:val="Compact"/>
              <w:jc w:val="right"/>
            </w:pPr>
            <w:r>
              <w:t xml:space="preserve">Precipitation departure (mm/mo)</w:t>
            </w:r>
          </w:p>
        </w:tc>
        <w:tc>
          <w:tcPr>
            <w:tcBorders>
              <w:bottom w:val="single"/>
            </w:tcBorders>
            <w:vAlign w:val="bottom"/>
          </w:tcPr>
          <w:p>
            <w:pPr>
              <w:pStyle w:val="Compact"/>
              <w:jc w:val="left"/>
            </w:pPr>
            <w:r>
              <w:t xml:space="preserve">X7</w:t>
            </w:r>
          </w:p>
        </w:tc>
        <w:tc>
          <w:tcPr>
            <w:tcBorders>
              <w:bottom w:val="single"/>
            </w:tcBorders>
            <w:vAlign w:val="bottom"/>
          </w:tcPr>
          <w:p>
            <w:pPr>
              <w:pStyle w:val="Compact"/>
              <w:jc w:val="left"/>
            </w:pPr>
            <w:r>
              <w:t xml:space="preserve">X8</w:t>
            </w:r>
          </w:p>
        </w:tc>
        <w:tc>
          <w:tcPr>
            <w:tcBorders>
              <w:bottom w:val="single"/>
            </w:tcBorders>
            <w:vAlign w:val="bottom"/>
          </w:tcPr>
          <w:p>
            <w:pPr>
              <w:pStyle w:val="Compact"/>
              <w:jc w:val="left"/>
            </w:pPr>
            <w:r>
              <w:t xml:space="preserve">X9</w:t>
            </w:r>
          </w:p>
        </w:tc>
        <w:tc>
          <w:tcPr>
            <w:tcBorders>
              <w:bottom w:val="single"/>
            </w:tcBorders>
            <w:vAlign w:val="bottom"/>
          </w:tcPr>
          <w:p>
            <w:pPr>
              <w:pStyle w:val="Compact"/>
              <w:jc w:val="left"/>
            </w:pPr>
            <w:r>
              <w:t xml:space="preserve">X10</w:t>
            </w:r>
          </w:p>
        </w:tc>
        <w:tc>
          <w:tcPr>
            <w:tcBorders>
              <w:bottom w:val="single"/>
            </w:tcBorders>
            <w:vAlign w:val="bottom"/>
          </w:tcPr>
          <w:p>
            <w:pPr>
              <w:pStyle w:val="Compact"/>
              <w:jc w:val="left"/>
            </w:pPr>
            <w:r>
              <w:t xml:space="preserve">X11</w:t>
            </w:r>
          </w:p>
        </w:tc>
      </w:tr>
      <w:tr>
        <w:tc>
          <w:p>
            <w:pPr>
              <w:pStyle w:val="Compact"/>
              <w:jc w:val="right"/>
            </w:pPr>
            <w:r>
              <w:t xml:space="preserve">2018</w:t>
            </w:r>
          </w:p>
        </w:tc>
        <w:tc>
          <w:p>
            <w:pPr>
              <w:pStyle w:val="Compact"/>
              <w:jc w:val="left"/>
            </w:pPr>
            <w:r>
              <w:t xml:space="preserve">June</w:t>
            </w:r>
          </w:p>
        </w:tc>
        <w:tc>
          <w:p>
            <w:pPr>
              <w:pStyle w:val="Compact"/>
              <w:jc w:val="right"/>
            </w:pPr>
            <w:r>
              <w:t xml:space="preserve">0.53</w:t>
            </w:r>
          </w:p>
        </w:tc>
        <w:tc>
          <w:p>
            <w:pPr>
              <w:pStyle w:val="Compact"/>
              <w:jc w:val="right"/>
            </w:pPr>
            <w:r>
              <w:t xml:space="preserve">1.47</w:t>
            </w:r>
          </w:p>
        </w:tc>
        <w:tc>
          <w:p>
            <w:pPr>
              <w:pStyle w:val="Compact"/>
              <w:jc w:val="right"/>
            </w:pPr>
            <w:r>
              <w:t xml:space="preserve">-32</w:t>
            </w:r>
          </w:p>
        </w:tc>
        <w:tc>
          <w:p>
            <w:pPr>
              <w:pStyle w:val="Compact"/>
              <w:jc w:val="right"/>
            </w:pPr>
            <w:r>
              <w:t xml:space="preserve">-36.5</w:t>
            </w:r>
          </w:p>
        </w:tc>
        <w:tc>
          <w:p/>
        </w:tc>
        <w:tc>
          <w:p/>
        </w:tc>
        <w:tc>
          <w:p/>
        </w:tc>
        <w:tc>
          <w:p/>
        </w:tc>
        <w:tc>
          <w:p/>
        </w:tc>
      </w:tr>
      <w:tr>
        <w:tc>
          <w:p>
            <w:pPr>
              <w:pStyle w:val="Compact"/>
              <w:jc w:val="right"/>
            </w:pPr>
            <w:r>
              <w:t xml:space="preserve">2018</w:t>
            </w:r>
          </w:p>
        </w:tc>
        <w:tc>
          <w:p>
            <w:pPr>
              <w:pStyle w:val="Compact"/>
              <w:jc w:val="left"/>
            </w:pPr>
            <w:r>
              <w:t xml:space="preserve">July</w:t>
            </w:r>
          </w:p>
        </w:tc>
        <w:tc>
          <w:p>
            <w:pPr>
              <w:pStyle w:val="Compact"/>
              <w:jc w:val="right"/>
            </w:pPr>
            <w:r>
              <w:t xml:space="preserve">1.20</w:t>
            </w:r>
          </w:p>
        </w:tc>
        <w:tc>
          <w:p>
            <w:pPr>
              <w:pStyle w:val="Compact"/>
              <w:jc w:val="right"/>
            </w:pPr>
            <w:r>
              <w:t xml:space="preserve">4.63</w:t>
            </w:r>
          </w:p>
        </w:tc>
        <w:tc>
          <w:p>
            <w:pPr>
              <w:pStyle w:val="Compact"/>
              <w:jc w:val="right"/>
            </w:pPr>
            <w:r>
              <w:t xml:space="preserve">-95</w:t>
            </w:r>
          </w:p>
        </w:tc>
        <w:tc>
          <w:p>
            <w:pPr>
              <w:pStyle w:val="Compact"/>
              <w:jc w:val="right"/>
            </w:pPr>
            <w:r>
              <w:t xml:space="preserve">-33.1</w:t>
            </w:r>
          </w:p>
        </w:tc>
        <w:tc>
          <w:p/>
        </w:tc>
        <w:tc>
          <w:p/>
        </w:tc>
        <w:tc>
          <w:p/>
        </w:tc>
        <w:tc>
          <w:p/>
        </w:tc>
        <w:tc>
          <w:p/>
        </w:tc>
      </w:tr>
      <w:tr>
        <w:tc>
          <w:p>
            <w:pPr>
              <w:pStyle w:val="Compact"/>
              <w:jc w:val="right"/>
            </w:pPr>
            <w:r>
              <w:t xml:space="preserve">2018</w:t>
            </w:r>
          </w:p>
        </w:tc>
        <w:tc>
          <w:p>
            <w:pPr>
              <w:pStyle w:val="Compact"/>
              <w:jc w:val="left"/>
            </w:pPr>
            <w:r>
              <w:t xml:space="preserve">August</w:t>
            </w:r>
          </w:p>
        </w:tc>
        <w:tc>
          <w:p>
            <w:pPr>
              <w:pStyle w:val="Compact"/>
              <w:jc w:val="right"/>
            </w:pPr>
            <w:r>
              <w:t xml:space="preserve">1.05</w:t>
            </w:r>
          </w:p>
        </w:tc>
        <w:tc>
          <w:p>
            <w:pPr>
              <w:pStyle w:val="Compact"/>
              <w:jc w:val="right"/>
            </w:pPr>
            <w:r>
              <w:t xml:space="preserve">4.10</w:t>
            </w:r>
          </w:p>
        </w:tc>
        <w:tc>
          <w:p>
            <w:pPr>
              <w:pStyle w:val="Compact"/>
              <w:jc w:val="right"/>
            </w:pPr>
            <w:r>
              <w:t xml:space="preserve">-89</w:t>
            </w:r>
          </w:p>
        </w:tc>
        <w:tc>
          <w:p>
            <w:pPr>
              <w:pStyle w:val="Compact"/>
              <w:jc w:val="right"/>
            </w:pPr>
            <w:r>
              <w:t xml:space="preserve">-40.2</w:t>
            </w:r>
          </w:p>
        </w:tc>
        <w:tc>
          <w:p/>
        </w:tc>
        <w:tc>
          <w:p/>
        </w:tc>
        <w:tc>
          <w:p/>
        </w:tc>
        <w:tc>
          <w:p/>
        </w:tc>
        <w:tc>
          <w:p/>
        </w:tc>
      </w:tr>
      <w:tr>
        <w:tc>
          <w:p>
            <w:pPr>
              <w:pStyle w:val="Compact"/>
              <w:jc w:val="right"/>
            </w:pPr>
            <w:r>
              <w:t xml:space="preserve">2018</w:t>
            </w:r>
          </w:p>
        </w:tc>
        <w:tc>
          <w:p>
            <w:pPr>
              <w:pStyle w:val="Compact"/>
              <w:jc w:val="left"/>
            </w:pPr>
            <w:r>
              <w:t xml:space="preserve">September</w:t>
            </w:r>
          </w:p>
        </w:tc>
        <w:tc>
          <w:p>
            <w:pPr>
              <w:pStyle w:val="Compact"/>
              <w:jc w:val="right"/>
            </w:pPr>
            <w:r>
              <w:t xml:space="preserve">0.46</w:t>
            </w:r>
          </w:p>
        </w:tc>
        <w:tc>
          <w:p>
            <w:pPr>
              <w:pStyle w:val="Compact"/>
              <w:jc w:val="right"/>
            </w:pPr>
            <w:r>
              <w:t xml:space="preserve">-0.78</w:t>
            </w:r>
          </w:p>
        </w:tc>
        <w:tc>
          <w:p>
            <w:pPr>
              <w:pStyle w:val="Compact"/>
              <w:jc w:val="right"/>
            </w:pPr>
            <w:r>
              <w:t xml:space="preserve">64</w:t>
            </w:r>
          </w:p>
        </w:tc>
        <w:tc>
          <w:p>
            <w:pPr>
              <w:pStyle w:val="Compact"/>
              <w:jc w:val="right"/>
            </w:pPr>
            <w:r>
              <w:t xml:space="preserve">50.8</w:t>
            </w:r>
          </w:p>
        </w:tc>
        <w:tc>
          <w:p/>
        </w:tc>
        <w:tc>
          <w:p/>
        </w:tc>
        <w:tc>
          <w:p/>
        </w:tc>
        <w:tc>
          <w:p/>
        </w:tc>
        <w:tc>
          <w:p/>
        </w:tc>
      </w:tr>
      <w:tr>
        <w:tc>
          <w:p>
            <w:pPr>
              <w:pStyle w:val="Compact"/>
              <w:jc w:val="right"/>
            </w:pPr>
            <w:r>
              <w:t xml:space="preserve">2018</w:t>
            </w:r>
          </w:p>
        </w:tc>
        <w:tc>
          <w:p>
            <w:pPr>
              <w:pStyle w:val="Compact"/>
              <w:jc w:val="left"/>
            </w:pPr>
            <w:r>
              <w:t xml:space="preserve">October</w:t>
            </w:r>
          </w:p>
        </w:tc>
        <w:tc>
          <w:p>
            <w:pPr>
              <w:pStyle w:val="Compact"/>
              <w:jc w:val="right"/>
            </w:pPr>
            <w:r>
              <w:t xml:space="preserve">0.22</w:t>
            </w:r>
          </w:p>
        </w:tc>
        <w:tc>
          <w:p>
            <w:pPr>
              <w:pStyle w:val="Compact"/>
              <w:jc w:val="right"/>
            </w:pPr>
            <w:r>
              <w:t xml:space="preserve">0.64</w:t>
            </w:r>
          </w:p>
        </w:tc>
        <w:tc>
          <w:p>
            <w:pPr>
              <w:pStyle w:val="Compact"/>
              <w:jc w:val="right"/>
            </w:pPr>
            <w:r>
              <w:t xml:space="preserve">-45</w:t>
            </w:r>
          </w:p>
        </w:tc>
        <w:tc>
          <w:p>
            <w:pPr>
              <w:pStyle w:val="Compact"/>
              <w:jc w:val="right"/>
            </w:pPr>
            <w:r>
              <w:t xml:space="preserve">-60.2</w:t>
            </w:r>
          </w:p>
        </w:tc>
        <w:tc>
          <w:p/>
        </w:tc>
        <w:tc>
          <w:p/>
        </w:tc>
        <w:tc>
          <w:p/>
        </w:tc>
        <w:tc>
          <w:p/>
        </w:tc>
        <w:tc>
          <w:p/>
        </w:tc>
      </w:tr>
      <w:tr>
        <w:tc>
          <w:p>
            <w:pPr>
              <w:pStyle w:val="Compact"/>
              <w:jc w:val="right"/>
            </w:pPr>
            <w:r>
              <w:t xml:space="preserve">2018</w:t>
            </w:r>
          </w:p>
        </w:tc>
        <w:tc>
          <w:p>
            <w:pPr>
              <w:pStyle w:val="Compact"/>
              <w:jc w:val="left"/>
            </w:pPr>
            <w:r>
              <w:t xml:space="preserve">November</w:t>
            </w:r>
          </w:p>
        </w:tc>
        <w:tc>
          <w:p>
            <w:pPr>
              <w:pStyle w:val="Compact"/>
              <w:jc w:val="right"/>
            </w:pPr>
            <w:r>
              <w:t xml:space="preserve">2.21</w:t>
            </w:r>
          </w:p>
        </w:tc>
        <w:tc>
          <w:p>
            <w:pPr>
              <w:pStyle w:val="Compact"/>
              <w:jc w:val="right"/>
            </w:pPr>
            <w:r>
              <w:t xml:space="preserve">1.42</w:t>
            </w:r>
          </w:p>
        </w:tc>
        <w:tc>
          <w:p>
            <w:pPr>
              <w:pStyle w:val="Compact"/>
              <w:jc w:val="right"/>
            </w:pPr>
            <w:r>
              <w:t xml:space="preserve">-16</w:t>
            </w:r>
          </w:p>
        </w:tc>
        <w:tc>
          <w:p>
            <w:pPr>
              <w:pStyle w:val="Compact"/>
              <w:jc w:val="right"/>
            </w:pPr>
            <w:r>
              <w:t xml:space="preserve">-15.4</w:t>
            </w:r>
          </w:p>
        </w:tc>
        <w:tc>
          <w:p/>
        </w:tc>
        <w:tc>
          <w:p/>
        </w:tc>
        <w:tc>
          <w:p/>
        </w:tc>
        <w:tc>
          <w:p/>
        </w:tc>
        <w:tc>
          <w:p/>
        </w:tc>
      </w:tr>
      <w:tr>
        <w:tc>
          <w:p>
            <w:pPr>
              <w:pStyle w:val="Compact"/>
              <w:jc w:val="right"/>
            </w:pPr>
            <w:r>
              <w:t xml:space="preserve">2018</w:t>
            </w:r>
          </w:p>
        </w:tc>
        <w:tc>
          <w:p>
            <w:pPr>
              <w:pStyle w:val="Compact"/>
              <w:jc w:val="left"/>
            </w:pPr>
            <w:r>
              <w:t xml:space="preserve">December</w:t>
            </w:r>
          </w:p>
        </w:tc>
        <w:tc>
          <w:p>
            <w:pPr>
              <w:pStyle w:val="Compact"/>
              <w:jc w:val="right"/>
            </w:pPr>
            <w:r>
              <w:t xml:space="preserve">1.36</w:t>
            </w:r>
          </w:p>
        </w:tc>
        <w:tc>
          <w:p>
            <w:pPr>
              <w:pStyle w:val="Compact"/>
              <w:jc w:val="right"/>
            </w:pPr>
            <w:r>
              <w:t xml:space="preserve">0.85</w:t>
            </w:r>
          </w:p>
        </w:tc>
        <w:tc>
          <w:p>
            <w:pPr>
              <w:pStyle w:val="Compact"/>
              <w:jc w:val="right"/>
            </w:pPr>
            <w:r>
              <w:t xml:space="preserve">32</w:t>
            </w:r>
          </w:p>
        </w:tc>
        <w:tc>
          <w:p>
            <w:pPr>
              <w:pStyle w:val="Compact"/>
              <w:jc w:val="right"/>
            </w:pPr>
            <w:r>
              <w:t xml:space="preserve">119.1</w:t>
            </w:r>
          </w:p>
        </w:tc>
        <w:tc>
          <w:p/>
        </w:tc>
        <w:tc>
          <w:p/>
        </w:tc>
        <w:tc>
          <w:p/>
        </w:tc>
        <w:tc>
          <w:p/>
        </w:tc>
        <w:tc>
          <w:p/>
        </w:tc>
      </w:tr>
      <w:tr>
        <w:tc>
          <w:p>
            <w:pPr>
              <w:pStyle w:val="Compact"/>
              <w:jc w:val="right"/>
            </w:pPr>
            <w:r>
              <w:t xml:space="preserve">2019</w:t>
            </w:r>
          </w:p>
        </w:tc>
        <w:tc>
          <w:p>
            <w:pPr>
              <w:pStyle w:val="Compact"/>
              <w:jc w:val="left"/>
            </w:pPr>
            <w:r>
              <w:t xml:space="preserve">January</w:t>
            </w:r>
          </w:p>
        </w:tc>
        <w:tc>
          <w:p>
            <w:pPr>
              <w:pStyle w:val="Compact"/>
              <w:jc w:val="right"/>
            </w:pPr>
            <w:r>
              <w:t xml:space="preserve">1.86</w:t>
            </w:r>
          </w:p>
        </w:tc>
        <w:tc>
          <w:p>
            <w:pPr>
              <w:pStyle w:val="Compact"/>
              <w:jc w:val="right"/>
            </w:pPr>
            <w:r>
              <w:t xml:space="preserve">1.57</w:t>
            </w:r>
          </w:p>
        </w:tc>
        <w:tc>
          <w:p>
            <w:pPr>
              <w:pStyle w:val="Compact"/>
              <w:jc w:val="right"/>
            </w:pPr>
            <w:r>
              <w:t xml:space="preserve">19</w:t>
            </w:r>
          </w:p>
        </w:tc>
        <w:tc>
          <w:p>
            <w:pPr>
              <w:pStyle w:val="Compact"/>
              <w:jc w:val="right"/>
            </w:pPr>
            <w:r>
              <w:t xml:space="preserve">65.0</w:t>
            </w:r>
          </w:p>
        </w:tc>
        <w:tc>
          <w:p/>
        </w:tc>
        <w:tc>
          <w:p/>
        </w:tc>
        <w:tc>
          <w:p/>
        </w:tc>
        <w:tc>
          <w:p/>
        </w:tc>
        <w:tc>
          <w:p/>
        </w:tc>
      </w:tr>
      <w:tr>
        <w:tc>
          <w:p>
            <w:pPr>
              <w:pStyle w:val="Compact"/>
              <w:jc w:val="right"/>
            </w:pPr>
            <w:r>
              <w:t xml:space="preserve">2019</w:t>
            </w:r>
          </w:p>
        </w:tc>
        <w:tc>
          <w:p>
            <w:pPr>
              <w:pStyle w:val="Compact"/>
              <w:jc w:val="left"/>
            </w:pPr>
            <w:r>
              <w:t xml:space="preserve">February</w:t>
            </w:r>
          </w:p>
        </w:tc>
        <w:tc>
          <w:p>
            <w:pPr>
              <w:pStyle w:val="Compact"/>
              <w:jc w:val="right"/>
            </w:pPr>
            <w:r>
              <w:t xml:space="preserve">-3.74</w:t>
            </w:r>
          </w:p>
        </w:tc>
        <w:tc>
          <w:p>
            <w:pPr>
              <w:pStyle w:val="Compact"/>
              <w:jc w:val="right"/>
            </w:pPr>
            <w:r>
              <w:t xml:space="preserve">-4.87</w:t>
            </w:r>
          </w:p>
        </w:tc>
        <w:tc>
          <w:p>
            <w:pPr>
              <w:pStyle w:val="Compact"/>
              <w:jc w:val="right"/>
            </w:pPr>
            <w:r>
              <w:t xml:space="preserve">-51</w:t>
            </w:r>
          </w:p>
        </w:tc>
        <w:tc>
          <w:p>
            <w:pPr>
              <w:pStyle w:val="Compact"/>
              <w:jc w:val="right"/>
            </w:pPr>
            <w:r>
              <w:t xml:space="preserve">-123.2</w:t>
            </w:r>
          </w:p>
        </w:tc>
        <w:tc>
          <w:p/>
        </w:tc>
        <w:tc>
          <w:p/>
        </w:tc>
        <w:tc>
          <w:p/>
        </w:tc>
        <w:tc>
          <w:p/>
        </w:tc>
        <w:tc>
          <w:p/>
        </w:tc>
      </w:tr>
      <w:tr>
        <w:tc>
          <w:p>
            <w:pPr>
              <w:pStyle w:val="Compact"/>
              <w:jc w:val="right"/>
            </w:pPr>
            <w:r>
              <w:t xml:space="preserve">2019</w:t>
            </w:r>
          </w:p>
        </w:tc>
        <w:tc>
          <w:p>
            <w:pPr>
              <w:pStyle w:val="Compact"/>
              <w:jc w:val="left"/>
            </w:pPr>
            <w:r>
              <w:t xml:space="preserve">March</w:t>
            </w:r>
          </w:p>
        </w:tc>
        <w:tc>
          <w:p>
            <w:pPr>
              <w:pStyle w:val="Compact"/>
              <w:jc w:val="right"/>
            </w:pPr>
            <w:r>
              <w:t xml:space="preserve">-2.59</w:t>
            </w:r>
          </w:p>
        </w:tc>
        <w:tc>
          <w:p>
            <w:pPr>
              <w:pStyle w:val="Compact"/>
              <w:jc w:val="right"/>
            </w:pPr>
            <w:r>
              <w:t xml:space="preserve">1.13</w:t>
            </w:r>
          </w:p>
        </w:tc>
        <w:tc>
          <w:p>
            <w:pPr>
              <w:pStyle w:val="Compact"/>
              <w:jc w:val="right"/>
            </w:pPr>
            <w:r>
              <w:t xml:space="preserve">-86</w:t>
            </w:r>
          </w:p>
        </w:tc>
        <w:tc>
          <w:p>
            <w:pPr>
              <w:pStyle w:val="Compact"/>
              <w:jc w:val="right"/>
            </w:pPr>
            <w:r>
              <w:t xml:space="preserve">-151.0</w:t>
            </w:r>
          </w:p>
        </w:tc>
        <w:tc>
          <w:p/>
        </w:tc>
        <w:tc>
          <w:p/>
        </w:tc>
        <w:tc>
          <w:p/>
        </w:tc>
        <w:tc>
          <w:p/>
        </w:tc>
        <w:tc>
          <w:p/>
        </w:tc>
      </w:tr>
      <w:tr>
        <w:tc>
          <w:p>
            <w:pPr>
              <w:pStyle w:val="Compact"/>
              <w:jc w:val="right"/>
            </w:pPr>
            <w:r>
              <w:t xml:space="preserve">2019</w:t>
            </w:r>
          </w:p>
        </w:tc>
        <w:tc>
          <w:p>
            <w:pPr>
              <w:pStyle w:val="Compact"/>
              <w:jc w:val="left"/>
            </w:pPr>
            <w:r>
              <w:t xml:space="preserve">April</w:t>
            </w:r>
          </w:p>
        </w:tc>
        <w:tc>
          <w:p>
            <w:pPr>
              <w:pStyle w:val="Compact"/>
              <w:jc w:val="right"/>
            </w:pPr>
            <w:r>
              <w:t xml:space="preserve">1.06</w:t>
            </w:r>
          </w:p>
        </w:tc>
        <w:tc>
          <w:p>
            <w:pPr>
              <w:pStyle w:val="Compact"/>
              <w:jc w:val="right"/>
            </w:pPr>
            <w:r>
              <w:t xml:space="preserve">0.50</w:t>
            </w:r>
          </w:p>
        </w:tc>
        <w:tc>
          <w:p>
            <w:pPr>
              <w:pStyle w:val="Compact"/>
              <w:jc w:val="right"/>
            </w:pPr>
            <w:r>
              <w:t xml:space="preserve">5</w:t>
            </w:r>
          </w:p>
        </w:tc>
        <w:tc>
          <w:p>
            <w:pPr>
              <w:pStyle w:val="Compact"/>
              <w:jc w:val="right"/>
            </w:pPr>
            <w:r>
              <w:t xml:space="preserve">13.4</w:t>
            </w:r>
          </w:p>
        </w:tc>
        <w:tc>
          <w:p/>
        </w:tc>
        <w:tc>
          <w:p/>
        </w:tc>
        <w:tc>
          <w:p/>
        </w:tc>
        <w:tc>
          <w:p/>
        </w:tc>
        <w:tc>
          <w:p/>
        </w:tc>
      </w:tr>
      <w:tr>
        <w:tc>
          <w:p>
            <w:pPr>
              <w:pStyle w:val="Compact"/>
              <w:jc w:val="right"/>
            </w:pPr>
            <w:r>
              <w:t xml:space="preserve">2019</w:t>
            </w:r>
          </w:p>
        </w:tc>
        <w:tc>
          <w:p>
            <w:pPr>
              <w:pStyle w:val="Compact"/>
              <w:jc w:val="left"/>
            </w:pPr>
            <w:r>
              <w:t xml:space="preserve">May</w:t>
            </w:r>
          </w:p>
        </w:tc>
        <w:tc>
          <w:p>
            <w:pPr>
              <w:pStyle w:val="Compact"/>
              <w:jc w:val="right"/>
            </w:pPr>
            <w:r>
              <w:t xml:space="preserve">2.12</w:t>
            </w:r>
          </w:p>
        </w:tc>
        <w:tc>
          <w:p>
            <w:pPr>
              <w:pStyle w:val="Compact"/>
              <w:jc w:val="right"/>
            </w:pPr>
            <w:r>
              <w:t xml:space="preserve">3.90</w:t>
            </w:r>
          </w:p>
        </w:tc>
        <w:tc>
          <w:p>
            <w:pPr>
              <w:pStyle w:val="Compact"/>
              <w:jc w:val="right"/>
            </w:pPr>
            <w:r>
              <w:t xml:space="preserve">-69</w:t>
            </w:r>
          </w:p>
        </w:tc>
        <w:tc>
          <w:p>
            <w:pPr>
              <w:pStyle w:val="Compact"/>
              <w:jc w:val="right"/>
            </w:pPr>
            <w:r>
              <w:t xml:space="preserve">-51.3</w:t>
            </w:r>
          </w:p>
        </w:tc>
        <w:tc>
          <w:p/>
        </w:tc>
        <w:tc>
          <w:p/>
        </w:tc>
        <w:tc>
          <w:p/>
        </w:tc>
        <w:tc>
          <w:p/>
        </w:tc>
        <w:tc>
          <w:p/>
        </w:tc>
      </w:tr>
      <w:tr>
        <w:tc>
          <w:p>
            <w:pPr>
              <w:pStyle w:val="Compact"/>
              <w:jc w:val="right"/>
            </w:pPr>
            <w:r>
              <w:t xml:space="preserve">2019</w:t>
            </w:r>
          </w:p>
        </w:tc>
        <w:tc>
          <w:p>
            <w:pPr>
              <w:pStyle w:val="Compact"/>
              <w:jc w:val="left"/>
            </w:pPr>
            <w:r>
              <w:t xml:space="preserve">June</w:t>
            </w:r>
          </w:p>
        </w:tc>
        <w:tc>
          <w:p>
            <w:pPr>
              <w:pStyle w:val="Compact"/>
              <w:jc w:val="right"/>
            </w:pPr>
            <w:r>
              <w:t xml:space="preserve">0.87</w:t>
            </w:r>
          </w:p>
        </w:tc>
        <w:tc>
          <w:p>
            <w:pPr>
              <w:pStyle w:val="Compact"/>
              <w:jc w:val="right"/>
            </w:pPr>
            <w:r>
              <w:t xml:space="preserve">1.92</w:t>
            </w:r>
          </w:p>
        </w:tc>
        <w:tc>
          <w:p>
            <w:pPr>
              <w:pStyle w:val="Compact"/>
              <w:jc w:val="right"/>
            </w:pPr>
            <w:r>
              <w:t xml:space="preserve">-75</w:t>
            </w:r>
          </w:p>
        </w:tc>
        <w:tc>
          <w:p>
            <w:pPr>
              <w:pStyle w:val="Compact"/>
              <w:jc w:val="right"/>
            </w:pPr>
            <w:r>
              <w:t xml:space="preserve">-29.9</w:t>
            </w:r>
          </w:p>
        </w:tc>
        <w:tc>
          <w:p/>
        </w:tc>
        <w:tc>
          <w:p/>
        </w:tc>
        <w:tc>
          <w:p/>
        </w:tc>
        <w:tc>
          <w:p/>
        </w:tc>
        <w:tc>
          <w:p/>
        </w:tc>
      </w:tr>
      <w:tr>
        <w:tc>
          <w:p>
            <w:pPr>
              <w:pStyle w:val="Compact"/>
              <w:jc w:val="right"/>
            </w:pPr>
            <w:r>
              <w:t xml:space="preserve">2019</w:t>
            </w:r>
          </w:p>
        </w:tc>
        <w:tc>
          <w:p>
            <w:pPr>
              <w:pStyle w:val="Compact"/>
              <w:jc w:val="left"/>
            </w:pPr>
            <w:r>
              <w:t xml:space="preserve">July</w:t>
            </w:r>
          </w:p>
        </w:tc>
        <w:tc>
          <w:p>
            <w:pPr>
              <w:pStyle w:val="Compact"/>
              <w:jc w:val="right"/>
            </w:pPr>
            <w:r>
              <w:t xml:space="preserve">1.00</w:t>
            </w:r>
          </w:p>
        </w:tc>
        <w:tc>
          <w:p>
            <w:pPr>
              <w:pStyle w:val="Compact"/>
              <w:jc w:val="right"/>
            </w:pPr>
            <w:r>
              <w:t xml:space="preserve">0.06</w:t>
            </w:r>
          </w:p>
        </w:tc>
        <w:tc>
          <w:p>
            <w:pPr>
              <w:pStyle w:val="Compact"/>
              <w:jc w:val="right"/>
            </w:pPr>
            <w:r>
              <w:t xml:space="preserve">12</w:t>
            </w:r>
          </w:p>
        </w:tc>
        <w:tc>
          <w:p>
            <w:pPr>
              <w:pStyle w:val="Compact"/>
              <w:jc w:val="right"/>
            </w:pPr>
            <w:r>
              <w:t xml:space="preserve">4.9</w:t>
            </w:r>
          </w:p>
        </w:tc>
        <w:tc>
          <w:p/>
        </w:tc>
        <w:tc>
          <w:p/>
        </w:tc>
        <w:tc>
          <w:p/>
        </w:tc>
        <w:tc>
          <w:p/>
        </w:tc>
        <w:tc>
          <w:p/>
        </w:tc>
      </w:tr>
      <w:tr>
        <w:tc>
          <w:p>
            <w:pPr>
              <w:pStyle w:val="Compact"/>
              <w:jc w:val="right"/>
            </w:pPr>
            <w:r>
              <w:t xml:space="preserve">2019</w:t>
            </w:r>
          </w:p>
        </w:tc>
        <w:tc>
          <w:p>
            <w:pPr>
              <w:pStyle w:val="Compact"/>
              <w:jc w:val="left"/>
            </w:pPr>
            <w:r>
              <w:t xml:space="preserve">August</w:t>
            </w:r>
          </w:p>
        </w:tc>
        <w:tc>
          <w:p>
            <w:pPr>
              <w:pStyle w:val="Compact"/>
              <w:jc w:val="right"/>
            </w:pPr>
            <w:r>
              <w:t xml:space="preserve">1.55</w:t>
            </w:r>
          </w:p>
        </w:tc>
        <w:tc>
          <w:p>
            <w:pPr>
              <w:pStyle w:val="Compact"/>
              <w:jc w:val="right"/>
            </w:pPr>
            <w:r>
              <w:t xml:space="preserve">1.35</w:t>
            </w:r>
          </w:p>
        </w:tc>
        <w:tc>
          <w:p>
            <w:pPr>
              <w:pStyle w:val="Compact"/>
              <w:jc w:val="right"/>
            </w:pPr>
            <w:r>
              <w:t xml:space="preserve">-40</w:t>
            </w:r>
          </w:p>
        </w:tc>
        <w:tc>
          <w:p>
            <w:pPr>
              <w:pStyle w:val="Compact"/>
              <w:jc w:val="right"/>
            </w:pPr>
            <w:r>
              <w:t xml:space="preserve">-15.4</w:t>
            </w:r>
          </w:p>
        </w:tc>
        <w:tc>
          <w:p/>
        </w:tc>
        <w:tc>
          <w:p/>
        </w:tc>
        <w:tc>
          <w:p/>
        </w:tc>
        <w:tc>
          <w:p/>
        </w:tc>
        <w:tc>
          <w:p/>
        </w:tc>
      </w:tr>
      <w:tr>
        <w:tc>
          <w:p>
            <w:pPr>
              <w:pStyle w:val="Compact"/>
              <w:jc w:val="right"/>
            </w:pPr>
            <w:r>
              <w:t xml:space="preserve">2019</w:t>
            </w:r>
          </w:p>
        </w:tc>
        <w:tc>
          <w:p>
            <w:pPr>
              <w:pStyle w:val="Compact"/>
              <w:jc w:val="left"/>
            </w:pPr>
            <w:r>
              <w:t xml:space="preserve">September</w:t>
            </w:r>
          </w:p>
        </w:tc>
        <w:tc>
          <w:p>
            <w:pPr>
              <w:pStyle w:val="Compact"/>
              <w:jc w:val="right"/>
            </w:pPr>
            <w:r>
              <w:t xml:space="preserve">2.01</w:t>
            </w:r>
          </w:p>
        </w:tc>
        <w:tc>
          <w:p>
            <w:pPr>
              <w:pStyle w:val="Compact"/>
              <w:jc w:val="right"/>
            </w:pPr>
            <w:r>
              <w:t xml:space="preserve">-1.25</w:t>
            </w:r>
          </w:p>
        </w:tc>
        <w:tc>
          <w:p>
            <w:pPr>
              <w:pStyle w:val="Compact"/>
              <w:jc w:val="right"/>
            </w:pPr>
            <w:r>
              <w:t xml:space="preserve">108</w:t>
            </w:r>
          </w:p>
        </w:tc>
        <w:tc>
          <w:p>
            <w:pPr>
              <w:pStyle w:val="Compact"/>
              <w:jc w:val="right"/>
            </w:pPr>
            <w:r>
              <w:t xml:space="preserve">66.1</w:t>
            </w:r>
          </w:p>
        </w:tc>
        <w:tc>
          <w:p/>
        </w:tc>
        <w:tc>
          <w:p/>
        </w:tc>
        <w:tc>
          <w:p/>
        </w:tc>
        <w:tc>
          <w:p/>
        </w:tc>
        <w:tc>
          <w:p/>
        </w:tc>
      </w:tr>
      <w:tr>
        <w:tc>
          <w:p>
            <w:pPr>
              <w:pStyle w:val="Compact"/>
              <w:jc w:val="right"/>
            </w:pPr>
            <w:r>
              <w:t xml:space="preserve">2019</w:t>
            </w:r>
          </w:p>
        </w:tc>
        <w:tc>
          <w:p>
            <w:pPr>
              <w:pStyle w:val="Compact"/>
              <w:jc w:val="left"/>
            </w:pPr>
            <w:r>
              <w:t xml:space="preserve">October</w:t>
            </w:r>
          </w:p>
        </w:tc>
        <w:tc>
          <w:p>
            <w:pPr>
              <w:pStyle w:val="Compact"/>
              <w:jc w:val="right"/>
            </w:pPr>
            <w:r>
              <w:t xml:space="preserve">-1.17</w:t>
            </w:r>
          </w:p>
        </w:tc>
        <w:tc>
          <w:p>
            <w:pPr>
              <w:pStyle w:val="Compact"/>
              <w:jc w:val="right"/>
            </w:pPr>
            <w:r>
              <w:t xml:space="preserve">-0.91</w:t>
            </w:r>
          </w:p>
        </w:tc>
        <w:tc>
          <w:p>
            <w:pPr>
              <w:pStyle w:val="Compact"/>
              <w:jc w:val="right"/>
            </w:pPr>
            <w:r>
              <w:t xml:space="preserve">-18</w:t>
            </w:r>
          </w:p>
        </w:tc>
        <w:tc>
          <w:p>
            <w:pPr>
              <w:pStyle w:val="Compact"/>
              <w:jc w:val="right"/>
            </w:pPr>
            <w:r>
              <w:t xml:space="preserve">-18.4</w:t>
            </w:r>
          </w:p>
        </w:tc>
        <w:tc>
          <w:p/>
        </w:tc>
        <w:tc>
          <w:p/>
        </w:tc>
        <w:tc>
          <w:p/>
        </w:tc>
        <w:tc>
          <w:p/>
        </w:tc>
        <w:tc>
          <w:p/>
        </w:tc>
      </w:tr>
      <w:tr>
        <w:tc>
          <w:p>
            <w:pPr>
              <w:pStyle w:val="Compact"/>
              <w:jc w:val="right"/>
            </w:pPr>
            <w:r>
              <w:t xml:space="preserve">2019</w:t>
            </w:r>
          </w:p>
        </w:tc>
        <w:tc>
          <w:p>
            <w:pPr>
              <w:pStyle w:val="Compact"/>
              <w:jc w:val="left"/>
            </w:pPr>
            <w:r>
              <w:t xml:space="preserve">November</w:t>
            </w:r>
          </w:p>
        </w:tc>
        <w:tc>
          <w:p>
            <w:pPr>
              <w:pStyle w:val="Compact"/>
              <w:jc w:val="right"/>
            </w:pPr>
            <w:r>
              <w:t xml:space="preserve">0.05</w:t>
            </w:r>
          </w:p>
        </w:tc>
        <w:tc>
          <w:p>
            <w:pPr>
              <w:pStyle w:val="Compact"/>
              <w:jc w:val="right"/>
            </w:pPr>
            <w:r>
              <w:t xml:space="preserve">1.39</w:t>
            </w:r>
          </w:p>
        </w:tc>
        <w:tc>
          <w:p>
            <w:pPr>
              <w:pStyle w:val="Compact"/>
              <w:jc w:val="right"/>
            </w:pPr>
            <w:r>
              <w:t xml:space="preserve">-65</w:t>
            </w:r>
          </w:p>
        </w:tc>
        <w:tc>
          <w:p>
            <w:pPr>
              <w:pStyle w:val="Compact"/>
              <w:jc w:val="right"/>
            </w:pPr>
            <w:r>
              <w:t xml:space="preserve">-212.8</w:t>
            </w:r>
          </w:p>
        </w:tc>
        <w:tc>
          <w:p/>
        </w:tc>
        <w:tc>
          <w:p/>
        </w:tc>
        <w:tc>
          <w:p/>
        </w:tc>
        <w:tc>
          <w:p/>
        </w:tc>
        <w:tc>
          <w:p/>
        </w:tc>
      </w:tr>
      <w:tr>
        <w:tc>
          <w:p>
            <w:pPr>
              <w:pStyle w:val="Compact"/>
              <w:jc w:val="right"/>
            </w:pPr>
            <w:r>
              <w:t xml:space="preserve">2019</w:t>
            </w:r>
          </w:p>
        </w:tc>
        <w:tc>
          <w:p>
            <w:pPr>
              <w:pStyle w:val="Compact"/>
              <w:jc w:val="left"/>
            </w:pPr>
            <w:r>
              <w:t xml:space="preserve">December</w:t>
            </w:r>
          </w:p>
        </w:tc>
        <w:tc>
          <w:p>
            <w:pPr>
              <w:pStyle w:val="Compact"/>
              <w:jc w:val="right"/>
            </w:pPr>
            <w:r>
              <w:t xml:space="preserve">2.21</w:t>
            </w:r>
          </w:p>
        </w:tc>
        <w:tc>
          <w:p>
            <w:pPr>
              <w:pStyle w:val="Compact"/>
              <w:jc w:val="right"/>
            </w:pPr>
            <w:r>
              <w:t xml:space="preserve">0.80</w:t>
            </w:r>
          </w:p>
        </w:tc>
        <w:tc>
          <w:p>
            <w:pPr>
              <w:pStyle w:val="Compact"/>
              <w:jc w:val="right"/>
            </w:pPr>
            <w:r>
              <w:t xml:space="preserve">-17</w:t>
            </w:r>
          </w:p>
        </w:tc>
        <w:tc>
          <w:p>
            <w:pPr>
              <w:pStyle w:val="Compact"/>
              <w:jc w:val="right"/>
            </w:pPr>
            <w:r>
              <w:t xml:space="preserve">-32.5</w:t>
            </w:r>
          </w:p>
        </w:tc>
        <w:tc>
          <w:p/>
        </w:tc>
        <w:tc>
          <w:p/>
        </w:tc>
        <w:tc>
          <w:p/>
        </w:tc>
        <w:tc>
          <w:p/>
        </w:tc>
        <w:tc>
          <w:p/>
        </w:tc>
      </w:tr>
      <w:tr>
        <w:tc>
          <w:p>
            <w:pPr>
              <w:pStyle w:val="Compact"/>
              <w:jc w:val="right"/>
            </w:pPr>
            <w:r>
              <w:t xml:space="preserve">2020</w:t>
            </w:r>
          </w:p>
        </w:tc>
        <w:tc>
          <w:p>
            <w:pPr>
              <w:pStyle w:val="Compact"/>
              <w:jc w:val="left"/>
            </w:pPr>
            <w:r>
              <w:t xml:space="preserve">January</w:t>
            </w:r>
          </w:p>
        </w:tc>
        <w:tc>
          <w:p>
            <w:pPr>
              <w:pStyle w:val="Compact"/>
              <w:jc w:val="right"/>
            </w:pPr>
            <w:r>
              <w:t xml:space="preserve">1.07</w:t>
            </w:r>
          </w:p>
        </w:tc>
        <w:tc>
          <w:p>
            <w:pPr>
              <w:pStyle w:val="Compact"/>
              <w:jc w:val="right"/>
            </w:pPr>
            <w:r>
              <w:t xml:space="preserve">-0.14</w:t>
            </w:r>
          </w:p>
        </w:tc>
        <w:tc>
          <w:p>
            <w:pPr>
              <w:pStyle w:val="Compact"/>
              <w:jc w:val="right"/>
            </w:pPr>
            <w:r>
              <w:t xml:space="preserve">136</w:t>
            </w:r>
          </w:p>
        </w:tc>
        <w:tc>
          <w:p>
            <w:pPr>
              <w:pStyle w:val="Compact"/>
              <w:jc w:val="right"/>
            </w:pPr>
            <w:r>
              <w:t xml:space="preserve">407.9</w:t>
            </w:r>
          </w:p>
        </w:tc>
        <w:tc>
          <w:p/>
        </w:tc>
        <w:tc>
          <w:p/>
        </w:tc>
        <w:tc>
          <w:p/>
        </w:tc>
        <w:tc>
          <w:p/>
        </w:tc>
        <w:tc>
          <w:p/>
        </w:tc>
      </w:tr>
      <w:tr>
        <w:tc>
          <w:p>
            <w:pPr>
              <w:pStyle w:val="Compact"/>
              <w:jc w:val="right"/>
            </w:pPr>
            <w:r>
              <w:t xml:space="preserve">2020</w:t>
            </w:r>
          </w:p>
        </w:tc>
        <w:tc>
          <w:p>
            <w:pPr>
              <w:pStyle w:val="Compact"/>
              <w:jc w:val="left"/>
            </w:pPr>
            <w:r>
              <w:t xml:space="preserve">February</w:t>
            </w:r>
          </w:p>
        </w:tc>
        <w:tc>
          <w:p>
            <w:pPr>
              <w:pStyle w:val="Compact"/>
              <w:jc w:val="right"/>
            </w:pPr>
            <w:r>
              <w:t xml:space="preserve">0.36</w:t>
            </w:r>
          </w:p>
        </w:tc>
        <w:tc>
          <w:p>
            <w:pPr>
              <w:pStyle w:val="Compact"/>
              <w:jc w:val="right"/>
            </w:pPr>
            <w:r>
              <w:t xml:space="preserve">0.12</w:t>
            </w:r>
          </w:p>
        </w:tc>
        <w:tc>
          <w:p>
            <w:pPr>
              <w:pStyle w:val="Compact"/>
              <w:jc w:val="right"/>
            </w:pPr>
            <w:r>
              <w:t xml:space="preserve">-60</w:t>
            </w:r>
          </w:p>
        </w:tc>
        <w:tc>
          <w:p>
            <w:pPr>
              <w:pStyle w:val="Compact"/>
              <w:jc w:val="right"/>
            </w:pPr>
            <w:r>
              <w:t xml:space="preserve">-93.0</w:t>
            </w:r>
          </w:p>
        </w:tc>
        <w:tc>
          <w:p/>
        </w:tc>
        <w:tc>
          <w:p/>
        </w:tc>
        <w:tc>
          <w:p/>
        </w:tc>
        <w:tc>
          <w:p/>
        </w:tc>
        <w:tc>
          <w:p/>
        </w:tc>
      </w:tr>
      <w:tr>
        <w:tc>
          <w:p/>
        </w:tc>
        <w:tc>
          <w:p/>
        </w:tc>
        <w:tc>
          <w:p/>
        </w:tc>
        <w:tc>
          <w:p/>
        </w:tc>
        <w:tc>
          <w:p/>
        </w:tc>
        <w:tc>
          <w:p/>
        </w:tc>
        <w:tc>
          <w:p/>
        </w:tc>
        <w:tc>
          <w:p/>
        </w:tc>
        <w:tc>
          <w:p/>
        </w:tc>
        <w:tc>
          <w:p/>
        </w:tc>
        <w:tc>
          <w:p/>
        </w:tc>
      </w:tr>
    </w:tbl>
    <w:p>
      <w:pPr>
        <w:pStyle w:val="BodyText"/>
      </w:pPr>
      <w:r>
        <w:t xml:space="preserve"> </w:t>
      </w:r>
    </w:p>
    <w:p>
      <w:pPr>
        <w:pStyle w:val="Heading8"/>
      </w:pPr>
      <w:bookmarkStart w:id="153" w:name="fwx-stations-in-the-lwsa"/>
      <w:r>
        <w:t xml:space="preserve">FWx stations in the LWSA</w:t>
      </w:r>
      <w:bookmarkEnd w:id="153"/>
    </w:p>
    <w:p>
      <w:pPr>
        <w:pStyle w:val="FirstParagraph"/>
      </w:pPr>
      <w:r>
        <w:t xml:space="preserve">There were two weather stations that operated during the study period: Chris Creek station is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30</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0: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9"/>
      </w:pPr>
      <w:bookmarkStart w:id="155" w:name="X7c6356a43fe14fad85e2bfec714ae5604410a47"/>
      <w:r>
        <w:t xml:space="preserve">Linear regression for air temperatures at Vertical Racks</w:t>
      </w:r>
      <w:bookmarkEnd w:id="155"/>
    </w:p>
    <w:p>
      <w:pPr>
        <w:pStyle w:val="FirstParagraph"/>
      </w:pPr>
      <w:r>
        <w:t xml:space="preserve">TidbiT temperature loggers (HOBO TidbiT v2 Temperature Data Logger, Onset, USA) were attached to the top and bottom of each vertical rack installation to record air and water temperature at 30-minute intervals. Loggers at the top of racks recorded air temperature and those at the bottom recorded water temperature (Figure</w:t>
      </w:r>
      <w:r>
        <w:t xml:space="preserve"> </w:t>
      </w:r>
      <w:r>
        <w:t xml:space="preserve">31</w:t>
      </w:r>
      <w:r>
        <w:t xml:space="preserve">).</w:t>
      </w:r>
    </w:p>
    <w:p>
      <w:pPr>
        <w:pStyle w:val="BodyText"/>
      </w:pPr>
      <w:r>
        <w:t xml:space="preserve"> </w:t>
      </w:r>
    </w:p>
    <w:p>
      <w:pPr>
        <w:pStyle w:val="CaptionedFigure"/>
      </w:pPr>
      <w:r>
        <w:drawing>
          <wp:inline>
            <wp:extent cx="5504749" cy="5504749"/>
            <wp:effectExtent b="0" l="0" r="0" t="0"/>
            <wp:docPr descr="Figure 31: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32</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Cragg-Creek &lt; West-Leech &lt; Tunnel).</w:t>
      </w:r>
    </w:p>
    <w:p>
      <w:pPr>
        <w:pStyle w:val="BodyText"/>
      </w:pPr>
      <w:r>
        <w:t xml:space="preserve"> </w:t>
      </w:r>
    </w:p>
    <w:p>
      <w:pPr>
        <w:pStyle w:val="CaptionedFigure"/>
      </w:pPr>
      <w:r>
        <w:drawing>
          <wp:inline>
            <wp:extent cx="5046020" cy="5046020"/>
            <wp:effectExtent b="0" l="0" r="0" t="0"/>
            <wp:docPr descr="Figure 32: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t xml:space="preserve">Temperatures recorded in air and water on vertical racks at each research site</w:t>
      </w:r>
    </w:p>
    <w:p>
      <w:pPr>
        <w:pStyle w:val="BodyText"/>
      </w:pPr>
      <w:r>
        <w:t xml:space="preserve"> </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33</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3: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24</w:t>
      </w:r>
      <w:r>
        <w:t xml:space="preserve">) with no statistical difference (at 90% confidence) for Cragg Creek, West Leech and the Tunnel (sites 4, 5, 6).</w:t>
      </w:r>
    </w:p>
    <w:p>
      <w:pPr>
        <w:pStyle w:val="BodyText"/>
      </w:pPr>
      <w:r>
        <w:t xml:space="preserve"> </w:t>
      </w:r>
    </w:p>
    <w:p>
      <w:pPr>
        <w:pStyle w:val="TableCaption"/>
      </w:pPr>
      <w:r>
        <w:t xml:space="preserve">Table 24: 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4: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34</w:t>
      </w:r>
      <w:r>
        <w:t xml:space="preserve">). Table</w:t>
      </w:r>
      <w:r>
        <w:t xml:space="preserve"> </w:t>
      </w:r>
      <w:r>
        <w:t xml:space="preserve">25</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25: Summary of predicted air temperature at each site compared to mean LWSA temperature from CRD FWx stations for the same time period</w:t>
      </w:r>
    </w:p>
    <w:tbl>
      <w:tblPr>
        <w:tblStyle w:val="Table"/>
        <w:tblW w:type="pct" w:w="5000.0"/>
        <w:tblLook w:firstRow="1"/>
        <w:tblCaption w:val="Table 25: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4:  Linear regression relationships between mean daily air temperature recorded at each monitoring site compared to mean Leech 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t xml:space="preserve">Linear regression relationships between mean daily air temperature recorded at each monitoring site compared to mean Leech WSA air temperature recorded by Chris Creek and Martin’s Gulch fire weather stations</w:t>
      </w:r>
    </w:p>
    <w:p>
      <w:pPr>
        <w:pStyle w:val="BodyText"/>
      </w:pPr>
      <w:r>
        <w:t xml:space="preserve"> </w:t>
      </w:r>
    </w:p>
    <w:p>
      <w:pPr>
        <w:pStyle w:val="Heading7"/>
      </w:pPr>
      <w:bookmarkStart w:id="160" w:name="Xeeb2060c33e757438fb6e1a3a0b82d8b44e32b0"/>
      <w:r>
        <w:t xml:space="preserve">Additional sampling and analysis (Chapter 2 extended)</w:t>
      </w:r>
      <w:bookmarkEnd w:id="160"/>
    </w:p>
    <w:p>
      <w:pPr>
        <w:pStyle w:val="FirstParagraph"/>
      </w:pPr>
      <w:r>
        <w:t xml:space="preserve">At UBC, stream 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8"/>
      </w:pPr>
      <w:bookmarkStart w:id="161" w:name="X3c82df21c002a4855f328820b5a765237738175"/>
      <w:r>
        <w:t xml:space="preserve">Treatability: forWater coordinated treatability analyses for disinfection by-product formation potentials (DBP-FP)</w:t>
      </w:r>
      <w:bookmarkEnd w:id="161"/>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05"/>
          <w:ilvl w:val="0"/>
        </w:numPr>
      </w:pPr>
      <w:r>
        <w:t xml:space="preserve">Leech River at the future point of diversion (near Leech Tunnel inlet)</w:t>
      </w:r>
    </w:p>
    <w:p>
      <w:pPr>
        <w:pStyle w:val="Compact"/>
        <w:numPr>
          <w:numId w:val="1005"/>
          <w:ilvl w:val="0"/>
        </w:numPr>
      </w:pPr>
      <w:r>
        <w:t xml:space="preserve">Deception Reservoir, downstream from Deception Gulch (outlet of Leech Tunnel)</w:t>
      </w:r>
    </w:p>
    <w:p>
      <w:pPr>
        <w:pStyle w:val="Compact"/>
        <w:numPr>
          <w:numId w:val="1005"/>
          <w:ilvl w:val="0"/>
        </w:numPr>
      </w:pPr>
      <w:r>
        <w:t xml:space="preserve">Rithet Creek (main tributary to Sooke Reservoir)</w:t>
      </w:r>
    </w:p>
    <w:p>
      <w:pPr>
        <w:pStyle w:val="Compact"/>
        <w:numPr>
          <w:numId w:val="1005"/>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the future balancing reservoir between the Leech and Sooke water supply areas, and the current tributary source waters to the Sooke Reservoir.</w:t>
      </w:r>
    </w:p>
    <w:p>
      <w:pPr>
        <w:pStyle w:val="BodyText"/>
      </w:pPr>
      <w:r>
        <w:t xml:space="preserve"> </w:t>
      </w:r>
    </w:p>
    <w:p>
      <w:pPr>
        <w:pStyle w:val="BodyText"/>
      </w:pPr>
      <w:r>
        <w:t xml:space="preserve">Two sets of duplicate samples from the four sites were collected during winter of the 2020 water year (November 12, 2019 and February 18, 2020) and were shipped to the Universities of Alberta and Waterloo for treatability analyses. At the University of Waterloo, the samples (</w:t>
      </w:r>
      <w:r>
        <w:rPr>
          <w:i/>
        </w:rPr>
        <w:t xml:space="preserve">n</w:t>
      </w:r>
      <w:r>
        <w:t xml:space="preserve"> </w:t>
      </w:r>
      <w:r>
        <w:t xml:space="preserve">= 8)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 nm, and DOC concentrations were examined.</w:t>
      </w:r>
    </w:p>
    <w:p>
      <w:pPr>
        <w:pStyle w:val="BodyText"/>
      </w:pPr>
      <w:r>
        <w:t xml:space="preserve"> </w:t>
      </w:r>
    </w:p>
    <w:p>
      <w:pPr>
        <w:pStyle w:val="Heading9"/>
      </w:pPr>
      <w:bookmarkStart w:id="162" w:name="results-treatability-doc"/>
      <w:r>
        <w:t xml:space="preserve">Results: Treatability &amp; DOC</w:t>
      </w:r>
      <w:bookmarkEnd w:id="162"/>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6</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SAC</w:t>
      </w:r>
      <w:r>
        <w:rPr>
          <w:vertAlign w:val="subscript"/>
        </w:rPr>
        <w:t xml:space="preserve">254</w:t>
      </w:r>
      <w:r>
        <w:t xml:space="preserve"> </w:t>
      </w:r>
      <w:r>
        <w:t xml:space="preserve">is a better indicator of NOM reactivity with respect to DBP-FPs (Table</w:t>
      </w:r>
      <w:r>
        <w:t xml:space="preserve"> </w:t>
      </w:r>
      <w:r>
        <w:t xml:space="preserve">26</w:t>
      </w:r>
      <w:r>
        <w:t xml:space="preserve">, Figure</w:t>
      </w:r>
      <w:r>
        <w:t xml:space="preserve"> </w:t>
      </w:r>
      <w:r>
        <w:t xml:space="preserve">6</w:t>
      </w:r>
      <w:r>
        <w:t xml:space="preserve">). In particular, SAC</w:t>
      </w:r>
      <w:r>
        <w:rPr>
          <w:vertAlign w:val="subscript"/>
        </w:rPr>
        <w:t xml:space="preserve">254</w:t>
      </w:r>
      <w:r>
        <w:t xml:space="preserve"> </w:t>
      </w:r>
      <w:r>
        <w:t xml:space="preserve">was well correlated with total trihalomethanes (THM, r=0.9882) including trichloromethane (TCM, r=0.9869), total haloacetic acids (HAAs, r=0.9927) including dichloroacetic acid (DCAA, r=0.9945) and trichloroacetic acid (TCAA, r=0.9900); and was only weakly correlated to bromodichloromethane (BDCM, r=0.6539). Below levels of detection (thus not shows here) were DBP-FP results for tribromomethane (TBM), dibromoacetic acid (DBAA), dibromochloromethane (DBCM), monochloroacetic acid (MCAA), monobromoacetic acid (MBAA).</w:t>
      </w:r>
    </w:p>
    <w:p>
      <w:pPr>
        <w:pStyle w:val="BodyText"/>
      </w:pPr>
      <w:r>
        <w:t xml:space="preserve"> </w:t>
      </w:r>
    </w:p>
    <w:p>
      <w:pPr>
        <w:pStyle w:val="TableCaption"/>
      </w:pPr>
      <w:r>
        <w:t xml:space="preserve">Table 26: Correlation coefficients for disinfection byproducts with spectral absorbance coefficient at 254 nm (SAC</w:t>
      </w:r>
      <w:r>
        <w:rPr>
          <w:vertAlign w:val="subscript"/>
        </w:rPr>
        <w:t xml:space="preserve">254</w:t>
      </w:r>
      <w:r>
        <w:t xml:space="preserve">), dissolved organic carbon concentration (DOC), and specific UV absorbance at 254 nm (SUVA</w:t>
      </w:r>
      <w:r>
        <w:rPr>
          <w:vertAlign w:val="subscript"/>
        </w:rPr>
        <w:t xml:space="preserve">254</w:t>
      </w:r>
      <w:r>
        <w:t xml:space="preserve">). DBP-FP values that were below detection were not included in the matrix</w:t>
      </w:r>
    </w:p>
    <w:tbl>
      <w:tblPr>
        <w:tblStyle w:val="Table"/>
        <w:tblW w:type="pct" w:w="0.0"/>
        <w:tblLook w:firstRow="1"/>
        <w:tblCaption w:val="Table 26: Correlation coefficients for disinfection byproducts with spectral absorbance coefficient at 254 nm (SAC254), dissolved organic carbon concentration (DOC), and specific UV absorbance at 254 nm (SUVA254). DBP-FP values that were below detection were not included in the matrix"/>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SAC254</w:t>
            </w:r>
          </w:p>
        </w:tc>
        <w:tc>
          <w:tcPr>
            <w:tcBorders>
              <w:bottom w:val="single"/>
            </w:tcBorders>
            <w:vAlign w:val="bottom"/>
          </w:tcPr>
          <w:p>
            <w:pPr>
              <w:pStyle w:val="Compact"/>
              <w:jc w:val="right"/>
            </w:pPr>
            <w:r>
              <w:t xml:space="preserve">DOC</w:t>
            </w:r>
          </w:p>
        </w:tc>
        <w:tc>
          <w:tcPr>
            <w:tcBorders>
              <w:bottom w:val="single"/>
            </w:tcBorders>
            <w:vAlign w:val="bottom"/>
          </w:tcPr>
          <w:p>
            <w:pPr>
              <w:pStyle w:val="Compact"/>
              <w:jc w:val="right"/>
            </w:pPr>
            <w:r>
              <w:t xml:space="preserve">SUVA254</w:t>
            </w:r>
          </w:p>
        </w:tc>
        <w:tc>
          <w:tcPr>
            <w:tcBorders>
              <w:bottom w:val="single"/>
            </w:tcBorders>
            <w:vAlign w:val="bottom"/>
          </w:tcPr>
          <w:p>
            <w:pPr>
              <w:pStyle w:val="Compact"/>
              <w:jc w:val="right"/>
            </w:pPr>
            <w:r>
              <w:t xml:space="preserve">THMs</w:t>
            </w:r>
          </w:p>
        </w:tc>
        <w:tc>
          <w:tcPr>
            <w:tcBorders>
              <w:bottom w:val="single"/>
            </w:tcBorders>
            <w:vAlign w:val="bottom"/>
          </w:tcPr>
          <w:p>
            <w:pPr>
              <w:pStyle w:val="Compact"/>
              <w:jc w:val="right"/>
            </w:pPr>
            <w:r>
              <w:t xml:space="preserve">BDCM</w:t>
            </w:r>
          </w:p>
        </w:tc>
        <w:tc>
          <w:tcPr>
            <w:tcBorders>
              <w:bottom w:val="single"/>
            </w:tcBorders>
            <w:vAlign w:val="bottom"/>
          </w:tcPr>
          <w:p>
            <w:pPr>
              <w:pStyle w:val="Compact"/>
              <w:jc w:val="right"/>
            </w:pPr>
            <w:r>
              <w:t xml:space="preserve">TCM</w:t>
            </w:r>
          </w:p>
        </w:tc>
        <w:tc>
          <w:tcPr>
            <w:tcBorders>
              <w:bottom w:val="single"/>
            </w:tcBorders>
            <w:vAlign w:val="bottom"/>
          </w:tcPr>
          <w:p>
            <w:pPr>
              <w:pStyle w:val="Compact"/>
              <w:jc w:val="right"/>
            </w:pPr>
            <w:r>
              <w:t xml:space="preserve">HAAs</w:t>
            </w:r>
          </w:p>
        </w:tc>
        <w:tc>
          <w:tcPr>
            <w:tcBorders>
              <w:bottom w:val="single"/>
            </w:tcBorders>
            <w:vAlign w:val="bottom"/>
          </w:tcPr>
          <w:p>
            <w:pPr>
              <w:pStyle w:val="Compact"/>
              <w:jc w:val="right"/>
            </w:pPr>
            <w:r>
              <w:t xml:space="preserve">DCAA</w:t>
            </w:r>
          </w:p>
        </w:tc>
        <w:tc>
          <w:tcPr>
            <w:tcBorders>
              <w:bottom w:val="single"/>
            </w:tcBorders>
            <w:vAlign w:val="bottom"/>
          </w:tcPr>
          <w:p>
            <w:pPr>
              <w:pStyle w:val="Compact"/>
              <w:jc w:val="right"/>
            </w:pPr>
            <w:r>
              <w:t xml:space="preserve">TCAA</w:t>
            </w:r>
          </w:p>
        </w:tc>
      </w:tr>
      <w:tr>
        <w:tc>
          <w:p>
            <w:pPr>
              <w:pStyle w:val="Compact"/>
              <w:jc w:val="left"/>
            </w:pPr>
            <w:r>
              <w:t xml:space="preserve">SAC254</w:t>
            </w:r>
          </w:p>
        </w:tc>
        <w:tc>
          <w:p>
            <w:pPr>
              <w:pStyle w:val="Compact"/>
              <w:jc w:val="right"/>
            </w:pPr>
            <w:r>
              <w:t xml:space="preserve">1.00000</w:t>
            </w:r>
          </w:p>
        </w:tc>
        <w:tc>
          <w:p>
            <w:pPr>
              <w:pStyle w:val="Compact"/>
              <w:jc w:val="right"/>
            </w:pPr>
            <w:r>
              <w:t xml:space="preserve">0.74485</w:t>
            </w:r>
          </w:p>
        </w:tc>
        <w:tc>
          <w:p>
            <w:pPr>
              <w:pStyle w:val="Compact"/>
              <w:jc w:val="right"/>
            </w:pPr>
            <w:r>
              <w:t xml:space="preserve">0.51273</w:t>
            </w:r>
          </w:p>
        </w:tc>
        <w:tc>
          <w:p>
            <w:pPr>
              <w:pStyle w:val="Compact"/>
              <w:jc w:val="right"/>
            </w:pPr>
            <w:r>
              <w:t xml:space="preserve">0.98817</w:t>
            </w:r>
          </w:p>
        </w:tc>
        <w:tc>
          <w:p>
            <w:pPr>
              <w:pStyle w:val="Compact"/>
              <w:jc w:val="right"/>
            </w:pPr>
            <w:r>
              <w:t xml:space="preserve">0.65387</w:t>
            </w:r>
          </w:p>
        </w:tc>
        <w:tc>
          <w:p>
            <w:pPr>
              <w:pStyle w:val="Compact"/>
              <w:jc w:val="right"/>
            </w:pPr>
            <w:r>
              <w:t xml:space="preserve">0.98694</w:t>
            </w:r>
          </w:p>
        </w:tc>
        <w:tc>
          <w:p>
            <w:pPr>
              <w:pStyle w:val="Compact"/>
              <w:jc w:val="right"/>
            </w:pPr>
            <w:r>
              <w:t xml:space="preserve">0.99270</w:t>
            </w:r>
          </w:p>
        </w:tc>
        <w:tc>
          <w:p>
            <w:pPr>
              <w:pStyle w:val="Compact"/>
              <w:jc w:val="right"/>
            </w:pPr>
            <w:r>
              <w:t xml:space="preserve">0.99446</w:t>
            </w:r>
          </w:p>
        </w:tc>
        <w:tc>
          <w:p>
            <w:pPr>
              <w:pStyle w:val="Compact"/>
              <w:jc w:val="right"/>
            </w:pPr>
            <w:r>
              <w:t xml:space="preserve">0.99000</w:t>
            </w:r>
          </w:p>
        </w:tc>
      </w:tr>
      <w:tr>
        <w:tc>
          <w:p>
            <w:pPr>
              <w:pStyle w:val="Compact"/>
              <w:jc w:val="left"/>
            </w:pPr>
            <w:r>
              <w:t xml:space="preserve">DOC</w:t>
            </w:r>
          </w:p>
        </w:tc>
        <w:tc>
          <w:p>
            <w:pPr>
              <w:pStyle w:val="Compact"/>
              <w:jc w:val="right"/>
            </w:pPr>
            <w:r>
              <w:t xml:space="preserve">0.74485</w:t>
            </w:r>
          </w:p>
        </w:tc>
        <w:tc>
          <w:p>
            <w:pPr>
              <w:pStyle w:val="Compact"/>
              <w:jc w:val="right"/>
            </w:pPr>
            <w:r>
              <w:t xml:space="preserve">1.00000</w:t>
            </w:r>
          </w:p>
        </w:tc>
        <w:tc>
          <w:p>
            <w:pPr>
              <w:pStyle w:val="Compact"/>
              <w:jc w:val="right"/>
            </w:pPr>
            <w:r>
              <w:t xml:space="preserve">-0.16925</w:t>
            </w:r>
          </w:p>
        </w:tc>
        <w:tc>
          <w:p>
            <w:pPr>
              <w:pStyle w:val="Compact"/>
              <w:jc w:val="right"/>
            </w:pPr>
            <w:r>
              <w:t xml:space="preserve">0.80285</w:t>
            </w:r>
          </w:p>
        </w:tc>
        <w:tc>
          <w:p>
            <w:pPr>
              <w:pStyle w:val="Compact"/>
              <w:jc w:val="right"/>
            </w:pPr>
            <w:r>
              <w:t xml:space="preserve">0.32781</w:t>
            </w:r>
          </w:p>
        </w:tc>
        <w:tc>
          <w:p>
            <w:pPr>
              <w:pStyle w:val="Compact"/>
              <w:jc w:val="right"/>
            </w:pPr>
            <w:r>
              <w:t xml:space="preserve">0.80575</w:t>
            </w:r>
          </w:p>
        </w:tc>
        <w:tc>
          <w:p>
            <w:pPr>
              <w:pStyle w:val="Compact"/>
              <w:jc w:val="right"/>
            </w:pPr>
            <w:r>
              <w:t xml:space="preserve">0.69292</w:t>
            </w:r>
          </w:p>
        </w:tc>
        <w:tc>
          <w:p>
            <w:pPr>
              <w:pStyle w:val="Compact"/>
              <w:jc w:val="right"/>
            </w:pPr>
            <w:r>
              <w:t xml:space="preserve">0.71389</w:t>
            </w:r>
          </w:p>
        </w:tc>
        <w:tc>
          <w:p>
            <w:pPr>
              <w:pStyle w:val="Compact"/>
              <w:jc w:val="right"/>
            </w:pPr>
            <w:r>
              <w:t xml:space="preserve">0.68315</w:t>
            </w:r>
          </w:p>
        </w:tc>
      </w:tr>
      <w:tr>
        <w:tc>
          <w:p>
            <w:pPr>
              <w:pStyle w:val="Compact"/>
              <w:jc w:val="left"/>
            </w:pPr>
            <w:r>
              <w:t xml:space="preserve">SUVA254</w:t>
            </w:r>
          </w:p>
        </w:tc>
        <w:tc>
          <w:p>
            <w:pPr>
              <w:pStyle w:val="Compact"/>
              <w:jc w:val="right"/>
            </w:pPr>
            <w:r>
              <w:t xml:space="preserve">0.51273</w:t>
            </w:r>
          </w:p>
        </w:tc>
        <w:tc>
          <w:p>
            <w:pPr>
              <w:pStyle w:val="Compact"/>
              <w:jc w:val="right"/>
            </w:pPr>
            <w:r>
              <w:t xml:space="preserve">-0.16925</w:t>
            </w:r>
          </w:p>
        </w:tc>
        <w:tc>
          <w:p>
            <w:pPr>
              <w:pStyle w:val="Compact"/>
              <w:jc w:val="right"/>
            </w:pPr>
            <w:r>
              <w:t xml:space="preserve">1.00000</w:t>
            </w:r>
          </w:p>
        </w:tc>
        <w:tc>
          <w:p>
            <w:pPr>
              <w:pStyle w:val="Compact"/>
              <w:jc w:val="right"/>
            </w:pPr>
            <w:r>
              <w:t xml:space="preserve">0.44361</w:t>
            </w:r>
          </w:p>
        </w:tc>
        <w:tc>
          <w:p>
            <w:pPr>
              <w:pStyle w:val="Compact"/>
              <w:jc w:val="right"/>
            </w:pPr>
            <w:r>
              <w:t xml:space="preserve">0.44857</w:t>
            </w:r>
          </w:p>
        </w:tc>
        <w:tc>
          <w:p>
            <w:pPr>
              <w:pStyle w:val="Compact"/>
              <w:jc w:val="right"/>
            </w:pPr>
            <w:r>
              <w:t xml:space="preserve">0.43977</w:t>
            </w:r>
          </w:p>
        </w:tc>
        <w:tc>
          <w:p>
            <w:pPr>
              <w:pStyle w:val="Compact"/>
              <w:jc w:val="right"/>
            </w:pPr>
            <w:r>
              <w:t xml:space="preserve">0.57143</w:t>
            </w:r>
          </w:p>
        </w:tc>
        <w:tc>
          <w:p>
            <w:pPr>
              <w:pStyle w:val="Compact"/>
              <w:jc w:val="right"/>
            </w:pPr>
            <w:r>
              <w:t xml:space="preserve">0.54897</w:t>
            </w:r>
          </w:p>
        </w:tc>
        <w:tc>
          <w:p>
            <w:pPr>
              <w:pStyle w:val="Compact"/>
              <w:jc w:val="right"/>
            </w:pPr>
            <w:r>
              <w:t xml:space="preserve">0.57868</w:t>
            </w:r>
          </w:p>
        </w:tc>
      </w:tr>
      <w:tr>
        <w:tc>
          <w:p>
            <w:pPr>
              <w:pStyle w:val="Compact"/>
              <w:jc w:val="left"/>
            </w:pPr>
            <w:r>
              <w:t xml:space="preserve">THMs</w:t>
            </w:r>
          </w:p>
        </w:tc>
        <w:tc>
          <w:p>
            <w:pPr>
              <w:pStyle w:val="Compact"/>
              <w:jc w:val="right"/>
            </w:pPr>
            <w:r>
              <w:t xml:space="preserve">0.98817</w:t>
            </w:r>
          </w:p>
        </w:tc>
        <w:tc>
          <w:p>
            <w:pPr>
              <w:pStyle w:val="Compact"/>
              <w:jc w:val="right"/>
            </w:pPr>
            <w:r>
              <w:t xml:space="preserve">0.80285</w:t>
            </w:r>
          </w:p>
        </w:tc>
        <w:tc>
          <w:p>
            <w:pPr>
              <w:pStyle w:val="Compact"/>
              <w:jc w:val="right"/>
            </w:pPr>
            <w:r>
              <w:t xml:space="preserve">0.44361</w:t>
            </w:r>
          </w:p>
        </w:tc>
        <w:tc>
          <w:p>
            <w:pPr>
              <w:pStyle w:val="Compact"/>
              <w:jc w:val="right"/>
            </w:pPr>
            <w:r>
              <w:t xml:space="preserve">1.00000</w:t>
            </w:r>
          </w:p>
        </w:tc>
        <w:tc>
          <w:p>
            <w:pPr>
              <w:pStyle w:val="Compact"/>
              <w:jc w:val="right"/>
            </w:pPr>
            <w:r>
              <w:t xml:space="preserve">0.58166</w:t>
            </w:r>
          </w:p>
        </w:tc>
        <w:tc>
          <w:p>
            <w:pPr>
              <w:pStyle w:val="Compact"/>
              <w:jc w:val="right"/>
            </w:pPr>
            <w:r>
              <w:t xml:space="preserve">0.99992</w:t>
            </w:r>
          </w:p>
        </w:tc>
        <w:tc>
          <w:p>
            <w:pPr>
              <w:pStyle w:val="Compact"/>
              <w:jc w:val="right"/>
            </w:pPr>
            <w:r>
              <w:t xml:space="preserve">0.97608</w:t>
            </w:r>
          </w:p>
        </w:tc>
        <w:tc>
          <w:p>
            <w:pPr>
              <w:pStyle w:val="Compact"/>
              <w:jc w:val="right"/>
            </w:pPr>
            <w:r>
              <w:t xml:space="preserve">0.98281</w:t>
            </w:r>
          </w:p>
        </w:tc>
        <w:tc>
          <w:p>
            <w:pPr>
              <w:pStyle w:val="Compact"/>
              <w:jc w:val="right"/>
            </w:pPr>
            <w:r>
              <w:t xml:space="preserve">0.97143</w:t>
            </w:r>
          </w:p>
        </w:tc>
      </w:tr>
      <w:tr>
        <w:tc>
          <w:p>
            <w:pPr>
              <w:pStyle w:val="Compact"/>
              <w:jc w:val="left"/>
            </w:pPr>
            <w:r>
              <w:t xml:space="preserve">BDCM</w:t>
            </w:r>
          </w:p>
        </w:tc>
        <w:tc>
          <w:p>
            <w:pPr>
              <w:pStyle w:val="Compact"/>
              <w:jc w:val="right"/>
            </w:pPr>
            <w:r>
              <w:t xml:space="preserve">0.65387</w:t>
            </w:r>
          </w:p>
        </w:tc>
        <w:tc>
          <w:p>
            <w:pPr>
              <w:pStyle w:val="Compact"/>
              <w:jc w:val="right"/>
            </w:pPr>
            <w:r>
              <w:t xml:space="preserve">0.32781</w:t>
            </w:r>
          </w:p>
        </w:tc>
        <w:tc>
          <w:p>
            <w:pPr>
              <w:pStyle w:val="Compact"/>
              <w:jc w:val="right"/>
            </w:pPr>
            <w:r>
              <w:t xml:space="preserve">0.44857</w:t>
            </w:r>
          </w:p>
        </w:tc>
        <w:tc>
          <w:p>
            <w:pPr>
              <w:pStyle w:val="Compact"/>
              <w:jc w:val="right"/>
            </w:pPr>
            <w:r>
              <w:t xml:space="preserve">0.58166</w:t>
            </w:r>
          </w:p>
        </w:tc>
        <w:tc>
          <w:p>
            <w:pPr>
              <w:pStyle w:val="Compact"/>
              <w:jc w:val="right"/>
            </w:pPr>
            <w:r>
              <w:t xml:space="preserve">1.00000</w:t>
            </w:r>
          </w:p>
        </w:tc>
        <w:tc>
          <w:p>
            <w:pPr>
              <w:pStyle w:val="Compact"/>
              <w:jc w:val="right"/>
            </w:pPr>
            <w:r>
              <w:t xml:space="preserve">0.57154</w:t>
            </w:r>
          </w:p>
        </w:tc>
        <w:tc>
          <w:p>
            <w:pPr>
              <w:pStyle w:val="Compact"/>
              <w:jc w:val="right"/>
            </w:pPr>
            <w:r>
              <w:t xml:space="preserve">0.59953</w:t>
            </w:r>
          </w:p>
        </w:tc>
        <w:tc>
          <w:p>
            <w:pPr>
              <w:pStyle w:val="Compact"/>
              <w:jc w:val="right"/>
            </w:pPr>
            <w:r>
              <w:t xml:space="preserve">0.61545</w:t>
            </w:r>
          </w:p>
        </w:tc>
        <w:tc>
          <w:p>
            <w:pPr>
              <w:pStyle w:val="Compact"/>
              <w:jc w:val="right"/>
            </w:pPr>
            <w:r>
              <w:t xml:space="preserve">0.59263</w:t>
            </w:r>
          </w:p>
        </w:tc>
      </w:tr>
      <w:tr>
        <w:tc>
          <w:p>
            <w:pPr>
              <w:pStyle w:val="Compact"/>
              <w:jc w:val="left"/>
            </w:pPr>
            <w:r>
              <w:t xml:space="preserve">TCM</w:t>
            </w:r>
          </w:p>
        </w:tc>
        <w:tc>
          <w:p>
            <w:pPr>
              <w:pStyle w:val="Compact"/>
              <w:jc w:val="right"/>
            </w:pPr>
            <w:r>
              <w:t xml:space="preserve">0.98694</w:t>
            </w:r>
          </w:p>
        </w:tc>
        <w:tc>
          <w:p>
            <w:pPr>
              <w:pStyle w:val="Compact"/>
              <w:jc w:val="right"/>
            </w:pPr>
            <w:r>
              <w:t xml:space="preserve">0.80575</w:t>
            </w:r>
          </w:p>
        </w:tc>
        <w:tc>
          <w:p>
            <w:pPr>
              <w:pStyle w:val="Compact"/>
              <w:jc w:val="right"/>
            </w:pPr>
            <w:r>
              <w:t xml:space="preserve">0.43977</w:t>
            </w:r>
          </w:p>
        </w:tc>
        <w:tc>
          <w:p>
            <w:pPr>
              <w:pStyle w:val="Compact"/>
              <w:jc w:val="right"/>
            </w:pPr>
            <w:r>
              <w:t xml:space="preserve">0.99992</w:t>
            </w:r>
          </w:p>
        </w:tc>
        <w:tc>
          <w:p>
            <w:pPr>
              <w:pStyle w:val="Compact"/>
              <w:jc w:val="right"/>
            </w:pPr>
            <w:r>
              <w:t xml:space="preserve">0.57154</w:t>
            </w:r>
          </w:p>
        </w:tc>
        <w:tc>
          <w:p>
            <w:pPr>
              <w:pStyle w:val="Compact"/>
              <w:jc w:val="right"/>
            </w:pPr>
            <w:r>
              <w:t xml:space="preserve">1.00000</w:t>
            </w:r>
          </w:p>
        </w:tc>
        <w:tc>
          <w:p>
            <w:pPr>
              <w:pStyle w:val="Compact"/>
              <w:jc w:val="right"/>
            </w:pPr>
            <w:r>
              <w:t xml:space="preserve">0.97547</w:t>
            </w:r>
          </w:p>
        </w:tc>
        <w:tc>
          <w:p>
            <w:pPr>
              <w:pStyle w:val="Compact"/>
              <w:jc w:val="right"/>
            </w:pPr>
            <w:r>
              <w:t xml:space="preserve">0.98198</w:t>
            </w:r>
          </w:p>
        </w:tc>
        <w:tc>
          <w:p>
            <w:pPr>
              <w:pStyle w:val="Compact"/>
              <w:jc w:val="right"/>
            </w:pPr>
            <w:r>
              <w:t xml:space="preserve">0.97090</w:t>
            </w:r>
          </w:p>
        </w:tc>
      </w:tr>
      <w:tr>
        <w:tc>
          <w:p>
            <w:pPr>
              <w:pStyle w:val="Compact"/>
              <w:jc w:val="left"/>
            </w:pPr>
            <w:r>
              <w:t xml:space="preserve">HAAs</w:t>
            </w:r>
          </w:p>
        </w:tc>
        <w:tc>
          <w:p>
            <w:pPr>
              <w:pStyle w:val="Compact"/>
              <w:jc w:val="right"/>
            </w:pPr>
            <w:r>
              <w:t xml:space="preserve">0.99270</w:t>
            </w:r>
          </w:p>
        </w:tc>
        <w:tc>
          <w:p>
            <w:pPr>
              <w:pStyle w:val="Compact"/>
              <w:jc w:val="right"/>
            </w:pPr>
            <w:r>
              <w:t xml:space="preserve">0.69292</w:t>
            </w:r>
          </w:p>
        </w:tc>
        <w:tc>
          <w:p>
            <w:pPr>
              <w:pStyle w:val="Compact"/>
              <w:jc w:val="right"/>
            </w:pPr>
            <w:r>
              <w:t xml:space="preserve">0.57143</w:t>
            </w:r>
          </w:p>
        </w:tc>
        <w:tc>
          <w:p>
            <w:pPr>
              <w:pStyle w:val="Compact"/>
              <w:jc w:val="right"/>
            </w:pPr>
            <w:r>
              <w:t xml:space="preserve">0.97608</w:t>
            </w:r>
          </w:p>
        </w:tc>
        <w:tc>
          <w:p>
            <w:pPr>
              <w:pStyle w:val="Compact"/>
              <w:jc w:val="right"/>
            </w:pPr>
            <w:r>
              <w:t xml:space="preserve">0.59953</w:t>
            </w:r>
          </w:p>
        </w:tc>
        <w:tc>
          <w:p>
            <w:pPr>
              <w:pStyle w:val="Compact"/>
              <w:jc w:val="right"/>
            </w:pPr>
            <w:r>
              <w:t xml:space="preserve">0.97547</w:t>
            </w:r>
          </w:p>
        </w:tc>
        <w:tc>
          <w:p>
            <w:pPr>
              <w:pStyle w:val="Compact"/>
              <w:jc w:val="right"/>
            </w:pPr>
            <w:r>
              <w:t xml:space="preserve">1.00000</w:t>
            </w:r>
          </w:p>
        </w:tc>
        <w:tc>
          <w:p>
            <w:pPr>
              <w:pStyle w:val="Compact"/>
              <w:jc w:val="right"/>
            </w:pPr>
            <w:r>
              <w:t xml:space="preserve">0.99642</w:t>
            </w:r>
          </w:p>
        </w:tc>
        <w:tc>
          <w:p>
            <w:pPr>
              <w:pStyle w:val="Compact"/>
              <w:jc w:val="right"/>
            </w:pPr>
            <w:r>
              <w:t xml:space="preserve">0.99937</w:t>
            </w:r>
          </w:p>
        </w:tc>
      </w:tr>
      <w:tr>
        <w:tc>
          <w:p>
            <w:pPr>
              <w:pStyle w:val="Compact"/>
              <w:jc w:val="left"/>
            </w:pPr>
            <w:r>
              <w:t xml:space="preserve">DCAA</w:t>
            </w:r>
          </w:p>
        </w:tc>
        <w:tc>
          <w:p>
            <w:pPr>
              <w:pStyle w:val="Compact"/>
              <w:jc w:val="right"/>
            </w:pPr>
            <w:r>
              <w:t xml:space="preserve">0.99446</w:t>
            </w:r>
          </w:p>
        </w:tc>
        <w:tc>
          <w:p>
            <w:pPr>
              <w:pStyle w:val="Compact"/>
              <w:jc w:val="right"/>
            </w:pPr>
            <w:r>
              <w:t xml:space="preserve">0.71389</w:t>
            </w:r>
          </w:p>
        </w:tc>
        <w:tc>
          <w:p>
            <w:pPr>
              <w:pStyle w:val="Compact"/>
              <w:jc w:val="right"/>
            </w:pPr>
            <w:r>
              <w:t xml:space="preserve">0.54897</w:t>
            </w:r>
          </w:p>
        </w:tc>
        <w:tc>
          <w:p>
            <w:pPr>
              <w:pStyle w:val="Compact"/>
              <w:jc w:val="right"/>
            </w:pPr>
            <w:r>
              <w:t xml:space="preserve">0.98281</w:t>
            </w:r>
          </w:p>
        </w:tc>
        <w:tc>
          <w:p>
            <w:pPr>
              <w:pStyle w:val="Compact"/>
              <w:jc w:val="right"/>
            </w:pPr>
            <w:r>
              <w:t xml:space="preserve">0.61545</w:t>
            </w:r>
          </w:p>
        </w:tc>
        <w:tc>
          <w:p>
            <w:pPr>
              <w:pStyle w:val="Compact"/>
              <w:jc w:val="right"/>
            </w:pPr>
            <w:r>
              <w:t xml:space="preserve">0.98198</w:t>
            </w:r>
          </w:p>
        </w:tc>
        <w:tc>
          <w:p>
            <w:pPr>
              <w:pStyle w:val="Compact"/>
              <w:jc w:val="right"/>
            </w:pPr>
            <w:r>
              <w:t xml:space="preserve">0.99642</w:t>
            </w:r>
          </w:p>
        </w:tc>
        <w:tc>
          <w:p>
            <w:pPr>
              <w:pStyle w:val="Compact"/>
              <w:jc w:val="right"/>
            </w:pPr>
            <w:r>
              <w:t xml:space="preserve">1.00000</w:t>
            </w:r>
          </w:p>
        </w:tc>
        <w:tc>
          <w:p>
            <w:pPr>
              <w:pStyle w:val="Compact"/>
              <w:jc w:val="right"/>
            </w:pPr>
            <w:r>
              <w:t xml:space="preserve">0.99294</w:t>
            </w:r>
          </w:p>
        </w:tc>
      </w:tr>
      <w:tr>
        <w:tc>
          <w:p>
            <w:pPr>
              <w:pStyle w:val="Compact"/>
              <w:jc w:val="left"/>
            </w:pPr>
            <w:r>
              <w:t xml:space="preserve">TCAA</w:t>
            </w:r>
          </w:p>
        </w:tc>
        <w:tc>
          <w:p>
            <w:pPr>
              <w:pStyle w:val="Compact"/>
              <w:jc w:val="right"/>
            </w:pPr>
            <w:r>
              <w:t xml:space="preserve">0.99000</w:t>
            </w:r>
          </w:p>
        </w:tc>
        <w:tc>
          <w:p>
            <w:pPr>
              <w:pStyle w:val="Compact"/>
              <w:jc w:val="right"/>
            </w:pPr>
            <w:r>
              <w:t xml:space="preserve">0.68315</w:t>
            </w:r>
          </w:p>
        </w:tc>
        <w:tc>
          <w:p>
            <w:pPr>
              <w:pStyle w:val="Compact"/>
              <w:jc w:val="right"/>
            </w:pPr>
            <w:r>
              <w:t xml:space="preserve">0.57868</w:t>
            </w:r>
          </w:p>
        </w:tc>
        <w:tc>
          <w:p>
            <w:pPr>
              <w:pStyle w:val="Compact"/>
              <w:jc w:val="right"/>
            </w:pPr>
            <w:r>
              <w:t xml:space="preserve">0.97143</w:t>
            </w:r>
          </w:p>
        </w:tc>
        <w:tc>
          <w:p>
            <w:pPr>
              <w:pStyle w:val="Compact"/>
              <w:jc w:val="right"/>
            </w:pPr>
            <w:r>
              <w:t xml:space="preserve">0.59263</w:t>
            </w:r>
          </w:p>
        </w:tc>
        <w:tc>
          <w:p>
            <w:pPr>
              <w:pStyle w:val="Compact"/>
              <w:jc w:val="right"/>
            </w:pPr>
            <w:r>
              <w:t xml:space="preserve">0.97090</w:t>
            </w:r>
          </w:p>
        </w:tc>
        <w:tc>
          <w:p>
            <w:pPr>
              <w:pStyle w:val="Compact"/>
              <w:jc w:val="right"/>
            </w:pPr>
            <w:r>
              <w:t xml:space="preserve">0.99937</w:t>
            </w:r>
          </w:p>
        </w:tc>
        <w:tc>
          <w:p>
            <w:pPr>
              <w:pStyle w:val="Compact"/>
              <w:jc w:val="right"/>
            </w:pPr>
            <w:r>
              <w:t xml:space="preserve">0.99294</w:t>
            </w:r>
          </w:p>
        </w:tc>
        <w:tc>
          <w:p>
            <w:pPr>
              <w:pStyle w:val="Compact"/>
              <w:jc w:val="right"/>
            </w:pPr>
            <w:r>
              <w:t xml:space="preserve">1.00000</w:t>
            </w:r>
          </w:p>
        </w:tc>
      </w:tr>
    </w:tbl>
    <w:p>
      <w:pPr>
        <w:pStyle w:val="BodyText"/>
      </w:pPr>
      <w:r>
        <w:t xml:space="preserve"> </w:t>
      </w:r>
    </w:p>
    <w:p>
      <w:pPr>
        <w:pStyle w:val="BodyText"/>
      </w:pPr>
      <w:r>
        <w:t xml:space="preserve">It’s important to note that while SAC</w:t>
      </w:r>
      <w:r>
        <w:rPr>
          <w:vertAlign w:val="subscript"/>
        </w:rPr>
        <w:t xml:space="preserve">254</w:t>
      </w:r>
      <w:r>
        <w:t xml:space="preserve"> </w:t>
      </w:r>
      <w:r>
        <w:t xml:space="preserve">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However, aqueous nitrogen, in combination with NOM, can also play an important roll as a precursor to nitrogenous-DBPs, which could potentially make SAC</w:t>
      </w:r>
      <w:r>
        <w:rPr>
          <w:vertAlign w:val="subscript"/>
        </w:rPr>
        <w:t xml:space="preserve">254</w:t>
      </w:r>
      <w:r>
        <w:t xml:space="preserve"> </w:t>
      </w:r>
      <w:r>
        <w:t xml:space="preserve">an even better indicator of DBP-FP. It would be interesting to evaluate nitrogenous DBPs in realtion to SAC</w:t>
      </w:r>
      <w:r>
        <w:rPr>
          <w:vertAlign w:val="subscript"/>
        </w:rPr>
        <w:t xml:space="preserve">254</w:t>
      </w:r>
      <w:r>
        <w:t xml:space="preserve">, NOM, and DBP-FPs.</w:t>
      </w:r>
    </w:p>
    <w:p>
      <w:pPr>
        <w:pStyle w:val="BodyText"/>
      </w:pPr>
      <w:r>
        <w:t xml:space="preserve"> </w:t>
      </w:r>
    </w:p>
    <w:p>
      <w:pPr>
        <w:pStyle w:val="Heading8"/>
      </w:pPr>
      <w:bookmarkStart w:id="163" w:name="X4b7b3e6ac6573f953e6980479d08b8ee7c28f75"/>
      <w:r>
        <w:t xml:space="preserve">Metals &amp; DOC: collaborative sampling for Metals on behalf of the CRD</w:t>
      </w:r>
      <w:bookmarkEnd w:id="163"/>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Maxxam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w:t>
      </w:r>
      <w:r>
        <w:t xml:space="preserve"> </w:t>
      </w:r>
      <w:r>
        <w:t xml:space="preserve">35</w:t>
      </w:r>
      <w:r>
        <w:t xml:space="preserve"> </w:t>
      </w:r>
      <w:r>
        <w:t xml:space="preserve">shows DOC with total metals in μg/L, and Figure</w:t>
      </w:r>
      <w:r>
        <w:t xml:space="preserve"> </w:t>
      </w:r>
      <w:r>
        <w:t xml:space="preserve">36</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5:  Concentrations of total metals (in µg/L) and dissolved organic carbon (DOC) concentrations in stream water samples collected across the Leech WSA"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6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t xml:space="preserve">Concentrations of total metals (in µg/L) and dissolved organic carbon (DOC) concentrations in stream water samples collected across the Leech WSA</w:t>
      </w:r>
    </w:p>
    <w:p>
      <w:pPr>
        <w:pStyle w:val="BodyText"/>
      </w:pPr>
      <w:r>
        <w:t xml:space="preserve"> </w:t>
      </w:r>
    </w:p>
    <w:p>
      <w:pPr>
        <w:pStyle w:val="CaptionedFigure"/>
      </w:pPr>
      <w:r>
        <w:drawing>
          <wp:inline>
            <wp:extent cx="5943600" cy="3668888"/>
            <wp:effectExtent b="0" l="0" r="0" t="0"/>
            <wp:docPr descr="Figure 36:  Concentrations of total metals (in mg/L) and dissolved organic carbon (DOC) concentrations in stream water samples collected across the Leech WSA"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6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t xml:space="preserve">Concentrations of total metals (in mg/L) and dissolved organic carbon (DOC) concentrations in stream water samples collected across the Leech WSA</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27</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27: Linear relationships between total metals with dissolved organic carbon in stream water samples collected across the Leech WSA</w:t>
      </w:r>
    </w:p>
    <w:tbl>
      <w:tblPr>
        <w:tblStyle w:val="Table"/>
        <w:tblW w:type="pct" w:w="0.0"/>
        <w:tblLook w:firstRow="1"/>
        <w:tblCaption w:val="Table 27: Linear relationships between total metals with dissolved organic carbon in stream water samples collected across the Leech WSA"/>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66" w:name="Xd57e388ce9932f107a386bb53a269f0c13afe86"/>
      <w:r>
        <w:t xml:space="preserve">NOM sampling in nested catchments (Chapter 3 extended)</w:t>
      </w:r>
      <w:bookmarkEnd w:id="166"/>
    </w:p>
    <w:p>
      <w:pPr>
        <w:pStyle w:val="FirstParagraph"/>
      </w:pPr>
      <w:r>
        <w:t xml:space="preserve">Below the confluences of headwaters sites (Figure</w:t>
      </w:r>
      <w:r>
        <w:t xml:space="preserve"> </w:t>
      </w:r>
      <w:r>
        <w:t xml:space="preserve">37</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37</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r>
        <w:t xml:space="preserve"> </w:t>
      </w:r>
      <w:r>
        <w:t xml:space="preserve"> </w:t>
      </w:r>
    </w:p>
    <w:p>
      <w:pPr>
        <w:pStyle w:val="CaptionedFigure"/>
      </w:pPr>
      <w:r>
        <w:drawing>
          <wp:inline>
            <wp:extent cx="5504749" cy="5504749"/>
            <wp:effectExtent b="0" l="0" r="0" t="0"/>
            <wp:docPr descr="Figure 37: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t xml:space="preserve"> </w:t>
      </w:r>
      <w:r>
        <w:t xml:space="preserve">Grab sample SAC</w:t>
      </w:r>
      <w:r>
        <w:rPr>
          <w:vertAlign w:val="subscript"/>
        </w:rPr>
        <w:t xml:space="preserve">254</w:t>
      </w:r>
      <w:r>
        <w:t xml:space="preserve"> </w:t>
      </w:r>
      <w:r>
        <w:t xml:space="preserve">at upstream locations compared to Rack and Grab sample SAC</w:t>
      </w:r>
      <w:r>
        <w:rPr>
          <w:vertAlign w:val="subscript"/>
        </w:rPr>
        <w:t xml:space="preserve">254</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38</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8: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t xml:space="preserve">Grab sample E</w:t>
      </w:r>
      <w:r>
        <w:rPr>
          <w:vertAlign w:val="subscript"/>
        </w:rPr>
        <w:t xml:space="preserve">2</w:t>
      </w:r>
      <w:r>
        <w:t xml:space="preserve">:E</w:t>
      </w:r>
      <w:r>
        <w:rPr>
          <w:vertAlign w:val="subscript"/>
        </w:rPr>
        <w:t xml:space="preserve">3</w:t>
      </w:r>
      <w:r>
        <w:t xml:space="preserve"> </w:t>
      </w:r>
      <w:r>
        <w:t xml:space="preserve">at upstream locations compared to Rack and Grab sample E</w:t>
      </w:r>
      <w:r>
        <w:rPr>
          <w:vertAlign w:val="subscript"/>
        </w:rPr>
        <w:t xml:space="preserve">2</w:t>
      </w:r>
      <w:r>
        <w:t xml:space="preserve">:E</w:t>
      </w:r>
      <w:r>
        <w:rPr>
          <w:vertAlign w:val="subscript"/>
        </w:rPr>
        <w:t xml:space="preserve">3</w:t>
      </w:r>
      <w:r>
        <w:t xml:space="preserve"> </w:t>
      </w:r>
      <w: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69" w:name="random-forests-chapter-4-extended"/>
      <w:r>
        <w:t xml:space="preserve">Random Forests (Chapter 4 extended)</w:t>
      </w:r>
      <w:bookmarkEnd w:id="169"/>
    </w:p>
    <w:p>
      <w:pPr>
        <w:pStyle w:val="Heading8"/>
      </w:pPr>
      <w:bookmarkStart w:id="170" w:name="random-forests-background"/>
      <w:r>
        <w:t xml:space="preserve">Random Forests background</w:t>
      </w:r>
      <w:bookmarkEnd w:id="170"/>
    </w:p>
    <w:p>
      <w:pPr>
        <w:pStyle w:val="FirstParagraph"/>
      </w:pPr>
      <w:r>
        <w:t xml:space="preserve"> </w:t>
      </w:r>
    </w:p>
    <w:p>
      <w:pPr>
        <w:pStyle w:val="BodyText"/>
      </w:pPr>
      <w:r>
        <w:t xml:space="preserve">A Random Forest is a collection of decision trees, that collectively comprise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the variable importance measure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VIM is calculated by permutation</w:t>
      </w:r>
      <w:r>
        <w:t xml:space="preserve"> </w:t>
      </w:r>
      <w:r>
        <w:t xml:space="preserve">(Liaw and Wiener</w:t>
      </w:r>
      <w:r>
        <w:t xml:space="preserve"> </w:t>
      </w:r>
      <w:hyperlink w:anchor="ref-Liaw2018">
        <w:r>
          <w:rPr>
            <w:rStyle w:val="Hyperlink"/>
          </w:rPr>
          <w:t xml:space="preserve">2018</w:t>
        </w:r>
      </w:hyperlink>
      <w:r>
        <w:t xml:space="preserve">)</w:t>
      </w:r>
      <w:r>
        <w:t xml:space="preserve"> </w:t>
      </w:r>
      <w:r>
        <w:t xml:space="preserve">and type 2 is assessed as a decrease in node impurity; for classification problems this is measured by the Gini index and for regression, it’s measures by the residual sum of squares</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(Chapter 4,</w:t>
      </w:r>
      <w:r>
        <w:t xml:space="preserve"> </w:t>
      </w:r>
      <w:r>
        <w:t xml:space="preserve">‘</w:t>
      </w:r>
      <w:r>
        <w:t xml:space="preserve">RF quality control</w:t>
      </w:r>
      <w:r>
        <w:t xml:space="preserve">’</w:t>
      </w:r>
      <w:r>
        <w:t xml:space="preserve"> </w:t>
      </w:r>
      <w:r>
        <w:t xml:space="preserve">section).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 and was conducted in the Chapter 4 analysis.</w:t>
      </w:r>
    </w:p>
    <w:p>
      <w:pPr>
        <w:pStyle w:val="BodyText"/>
      </w:pPr>
      <w:r>
        <w:t xml:space="preserve"> </w:t>
      </w:r>
    </w:p>
    <w:p>
      <w:pPr>
        <w:pStyle w:val="Heading8"/>
      </w:pPr>
      <w:bookmarkStart w:id="171" w:name="X535eef1350fbf66d4c05444a46f2e4d35caee3c"/>
      <w:r>
        <w:t xml:space="preserve">Random Forests Variable Importance Measure</w:t>
      </w:r>
      <w:bookmarkEnd w:id="171"/>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39</w:t>
      </w:r>
      <w:r>
        <w:t xml:space="preserve"> </w:t>
      </w:r>
      <w:r>
        <w:t xml:space="preserve">and see how the relative rankings changed.</w:t>
      </w:r>
    </w:p>
    <w:p>
      <w:pPr>
        <w:pStyle w:val="CaptionedFigure"/>
      </w:pPr>
      <w:r>
        <w:drawing>
          <wp:inline>
            <wp:extent cx="5504749" cy="6880936"/>
            <wp:effectExtent b="0" l="0" r="0" t="0"/>
            <wp:docPr descr="Figure 39:  Random Forest variable importance measure for NOM concentration and character using combined predictant types (dynamic conditions and static watershed characteristics), which altered the relative importance ranking compared to when the groups were assessed separately"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72"/>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39:</w:t>
      </w:r>
      <w:r>
        <w:t xml:space="preserve"> </w:t>
      </w:r>
      <w:r>
        <w:t xml:space="preserve"> </w:t>
      </w:r>
      <w:r>
        <w:t xml:space="preserve">Random Forest variable importance measure for NOM concentration and character using combined predictant types (dynamic conditions and static watershed characteristics), which altered the relative importance ranking compared to when the groups were assessed separately</w:t>
      </w:r>
    </w:p>
    <w:p>
      <w:pPr>
        <w:pStyle w:val="BodyText"/>
      </w:pPr>
      <w:r>
        <w:t xml:space="preserve"> </w:t>
      </w:r>
    </w:p>
    <w:p>
      <w:pPr>
        <w:pStyle w:val="BodyText"/>
      </w:pPr>
      <w:r>
        <w:t xml:space="preserve">Enough samples were collected for DOC assessment in both the dry and wet seasons to see a pattern of wet season increase in DOC with increasing antecedent air temperatures; there was no clear pattern in the dry season (Figure</w:t>
      </w:r>
      <w:r>
        <w:t xml:space="preserve"> </w:t>
      </w:r>
      <w:r>
        <w:t xml:space="preserve">40</w:t>
      </w:r>
      <w:r>
        <w:t xml:space="preserve">).</w:t>
      </w:r>
    </w:p>
    <w:p>
      <w:pPr>
        <w:pStyle w:val="BodyText"/>
      </w:pPr>
      <w:r>
        <w:t xml:space="preserve"> </w:t>
      </w:r>
    </w:p>
    <w:p>
      <w:pPr>
        <w:pStyle w:val="CaptionedFigure"/>
      </w:pPr>
      <w:r>
        <w:drawing>
          <wp:inline>
            <wp:extent cx="3669832" cy="3669832"/>
            <wp:effectExtent b="0" l="0" r="0" t="0"/>
            <wp:docPr descr="Figure 40:  Antecedent 7-day air temperature as a predictor variable for concentrations of dissolved organic carbon in the wet and dry seasons of the Leech Water Supply Area (including loess trend lines)"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7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t xml:space="preserve">Antecedent 7-day air temperature as a predictor variable for concentrations of dissolved organic carbon in the wet and dry seasons of the Leech Water Supply Area (including loess trend lines)</w:t>
      </w:r>
    </w:p>
    <w:p>
      <w:pPr>
        <w:pStyle w:val="BodyText"/>
      </w:pPr>
      <w:r>
        <w:t xml:space="preserve"> </w:t>
      </w:r>
    </w:p>
    <w:p>
      <w:pPr>
        <w:pStyle w:val="BodyText"/>
      </w:pPr>
      <w:r>
        <w:t xml:space="preserve">The relationships between NOM proxy parameters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with 30-day antecedent rain were slightly different at each site (Figure</w:t>
      </w:r>
      <w:r>
        <w:t xml:space="preserve"> </w:t>
      </w:r>
      <w:r>
        <w:t xml:space="preserve">41</w:t>
      </w:r>
      <w:r>
        <w:t xml:space="preserve">). Generally, DOC decreased with increasing 30-day antecedent rain at all site above approximately 200 mm of accumulated rain. There were insufficient data at each site to tease out clear patterns with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CaptionedFigure"/>
      </w:pPr>
      <w:r>
        <w:drawing>
          <wp:inline>
            <wp:extent cx="5504749" cy="6422207"/>
            <wp:effectExtent b="0" l="0" r="0" t="0"/>
            <wp:docPr descr="Figure 41: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74"/>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7"/>
      </w:pPr>
      <w:bookmarkStart w:id="175" w:name="hysteresis-chapter-4-bonus"/>
      <w:r>
        <w:t xml:space="preserve">Hysteresis (Chapter 4 Bonus!)</w:t>
      </w:r>
      <w:bookmarkEnd w:id="175"/>
    </w:p>
    <w:p>
      <w:pPr>
        <w:pStyle w:val="Heading8"/>
      </w:pPr>
      <w:bookmarkStart w:id="176" w:name="background"/>
      <w:r>
        <w:t xml:space="preserve">Background</w:t>
      </w:r>
      <w:bookmarkEnd w:id="176"/>
    </w:p>
    <w:p>
      <w:pPr>
        <w:pStyle w:val="FirstParagraph"/>
      </w:pPr>
      <w:r>
        <w:t xml:space="preserve">Storm events are understood to be a key driver for solute and particle mobilization in streams</w:t>
      </w:r>
      <w:r>
        <w:t xml:space="preserve"> </w:t>
      </w:r>
      <w:r>
        <w:t xml:space="preserve">(e.g. Aguilera and Melack</w:t>
      </w:r>
      <w:r>
        <w:t xml:space="preserve"> </w:t>
      </w:r>
      <w:hyperlink w:anchor="ref-Aguilera2018">
        <w:r>
          <w:rPr>
            <w:rStyle w:val="Hyperlink"/>
          </w:rPr>
          <w:t xml:space="preserve">2018</w:t>
        </w:r>
      </w:hyperlink>
      <w:r>
        <w:t xml:space="preserve">)</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(i.e. C-Q)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(i.e. clockwise vs. counterclockwise),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For example,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Heading8"/>
      </w:pPr>
      <w:bookmarkStart w:id="177" w:name="methods"/>
      <w:r>
        <w:t xml:space="preserve">Methods</w:t>
      </w:r>
      <w:bookmarkEnd w:id="177"/>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br/>
      </w:r>
    </w:p>
    <w:p>
      <w:pPr>
        <w:pStyle w:val="Heading8"/>
      </w:pPr>
      <w:bookmarkStart w:id="178" w:name="X404510d1bd96af4d981e7f11674dca829445813"/>
      <w:r>
        <w:t xml:space="preserve">Results and discussion: Hysteresis of NOM with antecedent wetness</w:t>
      </w:r>
      <w:bookmarkEnd w:id="178"/>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42</w:t>
      </w:r>
      <w:r>
        <w:t xml:space="preserve">).</w:t>
      </w:r>
    </w:p>
    <w:p>
      <w:pPr>
        <w:pStyle w:val="BodyText"/>
      </w:pPr>
      <w:r>
        <w:t xml:space="preserve"> </w:t>
      </w:r>
    </w:p>
    <w:p>
      <w:pPr>
        <w:pStyle w:val="CaptionedFigure"/>
      </w:pPr>
      <w:r>
        <w:drawing>
          <wp:inline>
            <wp:extent cx="5504749" cy="5963478"/>
            <wp:effectExtent b="0" l="0" r="0" t="0"/>
            <wp:docPr descr="Figure 42: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79"/>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43</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16</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43</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43: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8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BodyText"/>
      </w:pPr>
      <w:r>
        <w:t xml:space="preserve">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44</w:t>
      </w:r>
      <w:r>
        <w:t xml:space="preserve">).</w:t>
      </w:r>
    </w:p>
    <w:p>
      <w:pPr>
        <w:pStyle w:val="BodyText"/>
      </w:pPr>
      <w:r>
        <w:t xml:space="preserve"> </w:t>
      </w:r>
    </w:p>
    <w:p>
      <w:pPr>
        <w:pStyle w:val="CaptionedFigure"/>
      </w:pPr>
      <w:r>
        <w:drawing>
          <wp:inline>
            <wp:extent cx="3669832" cy="3669832"/>
            <wp:effectExtent b="0" l="0" r="0" t="0"/>
            <wp:docPr descr="Figure 44:  Relationship between sample stage and antecedent 30-day rain at the six Leech WSA monitoring sites."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8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t xml:space="preserve">Relationship between sample stage and antecedent 30-day rain at the six Leech WSA monitoring sites.</w:t>
      </w:r>
    </w:p>
    <w:p>
      <w:pPr>
        <w:pStyle w:val="BodyText"/>
      </w:pPr>
      <w:r>
        <w:t xml:space="preserve"> </w:t>
      </w:r>
    </w:p>
    <w:p>
      <w:pPr>
        <w:pStyle w:val="Heading7"/>
      </w:pPr>
      <w:bookmarkStart w:id="182" w:name="technology-summary"/>
      <w:r>
        <w:t xml:space="preserve">Technology summary</w:t>
      </w:r>
      <w:bookmarkEnd w:id="182"/>
    </w:p>
    <w:p>
      <w:pPr>
        <w:pStyle w:val="FirstParagraph"/>
      </w:pPr>
      <w:r>
        <w:t xml:space="preserve">Digital equipment used in this thesis are summarized in Table</w:t>
      </w:r>
      <w:r>
        <w:t xml:space="preserve"> </w:t>
      </w:r>
      <w:r>
        <w:t xml:space="preserve">28</w:t>
      </w:r>
      <w:r>
        <w:t xml:space="preserve">.</w:t>
      </w:r>
    </w:p>
    <w:p>
      <w:pPr>
        <w:pStyle w:val="BodyText"/>
      </w:pPr>
      <w:r>
        <w:t xml:space="preserve"> </w:t>
      </w:r>
    </w:p>
    <w:p>
      <w:pPr>
        <w:pStyle w:val="TableCaption"/>
      </w:pPr>
      <w:r>
        <w:t xml:space="preserve">Table 28: Summary of hardware and sofware used in this thesis project</w:t>
      </w:r>
    </w:p>
    <w:tbl>
      <w:tblPr>
        <w:tblStyle w:val="Table"/>
        <w:tblW w:type="pct" w:w="5000.0"/>
        <w:tblLook w:firstRow="1"/>
        <w:tblCaption w:val="Table 28: Summary of hardware and sofware used in this thesis project"/>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83" w:name="done"/>
      <w:r>
        <w:t xml:space="preserve">Done</w:t>
      </w:r>
      <w:bookmarkEnd w:id="183"/>
    </w:p>
    <w:p>
      <w:pPr>
        <w:pStyle w:val="FirstParagraph"/>
      </w:pPr>
      <w:r>
        <w:t xml:space="preserve">Hannah McSorley thanks you for reading this thesis, and thanks her pal Stewart Butler again for helping with field installations in the coldest and darkest parts of 2018 and 2019 (Figure</w:t>
      </w:r>
      <w:r>
        <w:t xml:space="preserve"> </w:t>
      </w:r>
      <w:r>
        <w:t xml:space="preserve">45</w:t>
      </w:r>
      <w:r>
        <w:t xml:space="preserve">).</w:t>
      </w:r>
    </w:p>
    <w:p>
      <w:pPr>
        <w:pStyle w:val="CaptionedFigure"/>
      </w:pPr>
      <w:r>
        <w:drawing>
          <wp:inline>
            <wp:extent cx="5943600" cy="4457700"/>
            <wp:effectExtent b="0" l="0" r="0" t="0"/>
            <wp:docPr descr="Figure 45: Photo of Hannah J. McSorley and Stewart Butler near the Sooke Gate in the Greater Victoria Water Supply Area, circa November 2018" title="" id="1" name="Picture"/>
            <a:graphic>
              <a:graphicData uri="http://schemas.openxmlformats.org/drawingml/2006/picture">
                <pic:pic>
                  <pic:nvPicPr>
                    <pic:cNvPr descr="R-inputs_UBC-forWater-MSc_HMc/images/appendix/hydro-homies.jpg" id="0" name="Picture"/>
                    <pic:cNvPicPr>
                      <a:picLocks noChangeArrowheads="1" noChangeAspect="1"/>
                    </pic:cNvPicPr>
                  </pic:nvPicPr>
                  <pic:blipFill>
                    <a:blip r:embed="rId14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45: Photo of Hannah J. McSorley and Stewart Butler near the Sooke Gate in the Greater Victoria Water Supply Area, circa November 2018</w:t>
      </w:r>
    </w:p>
    <w:bookmarkStart w:id="365" w:name="refs"/>
    <w:bookmarkStart w:id="185"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4">
        <w:r>
          <w:rPr>
            <w:rStyle w:val="Hyperlink"/>
          </w:rPr>
          <w:t xml:space="preserve">https://doi.org/10.1111/ele.12897</w:t>
        </w:r>
      </w:hyperlink>
      <w:r>
        <w:t xml:space="preserve">.</w:t>
      </w:r>
    </w:p>
    <w:bookmarkEnd w:id="185"/>
    <w:bookmarkStart w:id="187"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6">
        <w:r>
          <w:rPr>
            <w:rStyle w:val="Hyperlink"/>
          </w:rPr>
          <w:t xml:space="preserve">https://doi.org/10.1002/2017WR021578</w:t>
        </w:r>
      </w:hyperlink>
      <w:r>
        <w:t xml:space="preserve">.</w:t>
      </w:r>
    </w:p>
    <w:bookmarkEnd w:id="187"/>
    <w:bookmarkStart w:id="189"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8">
        <w:r>
          <w:rPr>
            <w:rStyle w:val="Hyperlink"/>
          </w:rPr>
          <w:t xml:space="preserve">https://doi.org/10.1002/j.1551-8833.1995.tb06299.x</w:t>
        </w:r>
      </w:hyperlink>
      <w:r>
        <w:t xml:space="preserve">.</w:t>
      </w:r>
    </w:p>
    <w:bookmarkEnd w:id="189"/>
    <w:bookmarkStart w:id="191"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90">
        <w:r>
          <w:rPr>
            <w:rStyle w:val="Hyperlink"/>
          </w:rPr>
          <w:t xml:space="preserve">https://doi.org/10.1021/es103992s</w:t>
        </w:r>
      </w:hyperlink>
      <w:r>
        <w:t xml:space="preserve">.</w:t>
      </w:r>
    </w:p>
    <w:bookmarkEnd w:id="191"/>
    <w:bookmarkStart w:id="193"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92">
        <w:r>
          <w:rPr>
            <w:rStyle w:val="Hyperlink"/>
          </w:rPr>
          <w:t xml:space="preserve">https://doi.org/10.1016/j.jhydrol.2014.05.060</w:t>
        </w:r>
      </w:hyperlink>
      <w:r>
        <w:t xml:space="preserve">.</w:t>
      </w:r>
    </w:p>
    <w:bookmarkEnd w:id="193"/>
    <w:bookmarkStart w:id="195"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4">
        <w:r>
          <w:rPr>
            <w:rStyle w:val="Hyperlink"/>
          </w:rPr>
          <w:t xml:space="preserve">https://doi.org/10.1029/2007JG000674</w:t>
        </w:r>
      </w:hyperlink>
      <w:r>
        <w:t xml:space="preserve">.</w:t>
      </w:r>
    </w:p>
    <w:bookmarkEnd w:id="195"/>
    <w:bookmarkStart w:id="197"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6">
        <w:r>
          <w:rPr>
            <w:rStyle w:val="Hyperlink"/>
          </w:rPr>
          <w:t xml:space="preserve">http://www.standardmethods.org/</w:t>
        </w:r>
      </w:hyperlink>
      <w:r>
        <w:t xml:space="preserve">.</w:t>
      </w:r>
    </w:p>
    <w:bookmarkEnd w:id="197"/>
    <w:bookmarkStart w:id="199"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8">
        <w:r>
          <w:rPr>
            <w:rStyle w:val="Hyperlink"/>
          </w:rPr>
          <w:t xml:space="preserve">https://doi.org/10.2105/SMWW.2882.113</w:t>
        </w:r>
      </w:hyperlink>
      <w:r>
        <w:t xml:space="preserve">.</w:t>
      </w:r>
    </w:p>
    <w:bookmarkEnd w:id="199"/>
    <w:bookmarkStart w:id="201" w:name="ref-Beauchamp2018"/>
    <w:p>
      <w:pPr>
        <w:pStyle w:val="Bibliography"/>
      </w:pPr>
      <w:r>
        <w:t xml:space="preserve">Beauchamp, Nicolas, Olivier Laflamme, Sabrina Simard, Caetano Dorea, Geneviève Pelletier, Christian Bouchard, and Manuel Rodriguez. 2018. “Relationships between DBP concentrations and differential UV absorbance in full-scale conditions.”</w:t>
      </w:r>
      <w:r>
        <w:t xml:space="preserve"> </w:t>
      </w:r>
      <w:r>
        <w:rPr>
          <w:i/>
        </w:rPr>
        <w:t xml:space="preserve">Water Research</w:t>
      </w:r>
      <w:r>
        <w:t xml:space="preserve"> </w:t>
      </w:r>
      <w:r>
        <w:t xml:space="preserve">131: 110–21.</w:t>
      </w:r>
      <w:r>
        <w:t xml:space="preserve"> </w:t>
      </w:r>
      <w:hyperlink r:id="rId200">
        <w:r>
          <w:rPr>
            <w:rStyle w:val="Hyperlink"/>
          </w:rPr>
          <w:t xml:space="preserve">https://doi.org/10.1016/j.watres.2017.12.031</w:t>
        </w:r>
      </w:hyperlink>
      <w:r>
        <w:t xml:space="preserve">.</w:t>
      </w:r>
    </w:p>
    <w:bookmarkEnd w:id="201"/>
    <w:bookmarkStart w:id="203"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202">
        <w:r>
          <w:rPr>
            <w:rStyle w:val="Hyperlink"/>
          </w:rPr>
          <w:t xml:space="preserve">https://doi.org/10.1007/s11749-016-0481-7</w:t>
        </w:r>
      </w:hyperlink>
      <w:r>
        <w:t xml:space="preserve">.</w:t>
      </w:r>
    </w:p>
    <w:bookmarkEnd w:id="203"/>
    <w:bookmarkStart w:id="205" w:name="ref-Biron1999"/>
    <w:p>
      <w:pPr>
        <w:pStyle w:val="Bibliography"/>
      </w:pPr>
      <w:r>
        <w:t xml:space="preserve">Biron, Pascale M., André G. Roy, François Courschesne, William H. Hendershot, Benoît Côté, and Jim Fyles. 1999. “The effects of antecedent moisture conditions on the relationship of hydrology to hydrochemistry in a small forested watershed.”</w:t>
      </w:r>
      <w:r>
        <w:t xml:space="preserve"> </w:t>
      </w:r>
      <w:r>
        <w:rPr>
          <w:i/>
        </w:rPr>
        <w:t xml:space="preserve">Hydrological Processes</w:t>
      </w:r>
      <w:r>
        <w:t xml:space="preserve"> </w:t>
      </w:r>
      <w:r>
        <w:t xml:space="preserve">13 (11): 1541–55.</w:t>
      </w:r>
      <w:r>
        <w:t xml:space="preserve"> </w:t>
      </w:r>
      <w:hyperlink r:id="rId204">
        <w:r>
          <w:rPr>
            <w:rStyle w:val="Hyperlink"/>
          </w:rPr>
          <w:t xml:space="preserve">https://doi.org/10.1002/(SICI)1099-1085(19990815)13:11&lt;1541::AID-HYP832&gt;3.0.CO;2-J</w:t>
        </w:r>
      </w:hyperlink>
      <w:r>
        <w:t xml:space="preserve">.</w:t>
      </w:r>
    </w:p>
    <w:bookmarkEnd w:id="205"/>
    <w:bookmarkStart w:id="207"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206">
        <w:r>
          <w:rPr>
            <w:rStyle w:val="Hyperlink"/>
          </w:rPr>
          <w:t xml:space="preserve">https://doi.org/10.1201/9780367816377-11</w:t>
        </w:r>
      </w:hyperlink>
      <w:r>
        <w:t xml:space="preserve">.</w:t>
      </w:r>
    </w:p>
    <w:bookmarkEnd w:id="207"/>
    <w:bookmarkStart w:id="209" w:name="ref-BC2019"/>
    <w:p>
      <w:pPr>
        <w:pStyle w:val="Bibliography"/>
      </w:pPr>
      <w:r>
        <w:t xml:space="preserve">British Columbia Ministry of Environment. 2017. “BC Source Drinking Water Quality Guidelines: Guideline Summary.” Victoria, B.C.: Prov. B.C.</w:t>
      </w:r>
      <w:r>
        <w:t xml:space="preserve"> </w:t>
      </w:r>
      <w:hyperlink r:id="rId208">
        <w:r>
          <w:rPr>
            <w:rStyle w:val="Hyperlink"/>
          </w:rPr>
          <w:t xml:space="preserve">https://www2.gov.bc.ca/gov/content/governments/organizational-structure/ministries-organizations/ministries/environment-climate-change</w:t>
        </w:r>
      </w:hyperlink>
      <w:r>
        <w:t xml:space="preserve">.</w:t>
      </w:r>
    </w:p>
    <w:bookmarkEnd w:id="209"/>
    <w:bookmarkStart w:id="210" w:name="ref-CCME2004"/>
    <w:p>
      <w:pPr>
        <w:pStyle w:val="Bibliography"/>
      </w:pPr>
      <w:r>
        <w:t xml:space="preserve">Canadian Council of Ministers of the Environment. 2004. “From source to tap : guidance on the multi-barrier approach to safe drinking water.”</w:t>
      </w:r>
    </w:p>
    <w:bookmarkEnd w:id="210"/>
    <w:bookmarkStart w:id="212" w:name="ref-SoilScience2020"/>
    <w:p>
      <w:pPr>
        <w:pStyle w:val="Bibliography"/>
      </w:pPr>
      <w:r>
        <w:t xml:space="preserve">Canadian Society of Soil Science. 2020. “Soils of Canada.”</w:t>
      </w:r>
      <w:r>
        <w:t xml:space="preserve"> </w:t>
      </w:r>
      <w:hyperlink r:id="rId211">
        <w:r>
          <w:rPr>
            <w:rStyle w:val="Hyperlink"/>
          </w:rPr>
          <w:t xml:space="preserve">https://soilsofcanada.ca</w:t>
        </w:r>
      </w:hyperlink>
      <w:r>
        <w:t xml:space="preserve">.</w:t>
      </w:r>
    </w:p>
    <w:bookmarkEnd w:id="212"/>
    <w:bookmarkStart w:id="214" w:name="ref-CRD"/>
    <w:p>
      <w:pPr>
        <w:pStyle w:val="Bibliography"/>
      </w:pPr>
      <w:r>
        <w:t xml:space="preserve">Capital Regional District. 2015. “Facts and Figures for the Greater Victoria Water Supply Area.”</w:t>
      </w:r>
      <w:r>
        <w:t xml:space="preserve"> </w:t>
      </w:r>
      <w:hyperlink r:id="rId213">
        <w:r>
          <w:rPr>
            <w:rStyle w:val="Hyperlink"/>
          </w:rPr>
          <w:t xml:space="preserve">https://www.crd.bc.ca/service/public-tours/watershed-tours/facts-figures</w:t>
        </w:r>
      </w:hyperlink>
      <w:r>
        <w:t xml:space="preserve">.</w:t>
      </w:r>
    </w:p>
    <w:bookmarkEnd w:id="214"/>
    <w:bookmarkStart w:id="215"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15"/>
    <w:bookmarkStart w:id="21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16">
        <w:r>
          <w:rPr>
            <w:rStyle w:val="Hyperlink"/>
          </w:rPr>
          <w:t xml:space="preserve">https://doi.org/10.2166/aqua.2008.064</w:t>
        </w:r>
      </w:hyperlink>
      <w:r>
        <w:t xml:space="preserve">.</w:t>
      </w:r>
    </w:p>
    <w:bookmarkEnd w:id="217"/>
    <w:bookmarkStart w:id="219"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8">
        <w:r>
          <w:rPr>
            <w:rStyle w:val="Hyperlink"/>
          </w:rPr>
          <w:t xml:space="preserve">https://doi.org/10.1007/978-94-007-1363-5</w:t>
        </w:r>
      </w:hyperlink>
      <w:r>
        <w:t xml:space="preserve">.</w:t>
      </w:r>
    </w:p>
    <w:bookmarkEnd w:id="219"/>
    <w:bookmarkStart w:id="221" w:name="ref-CapitalRegionDistrict2017"/>
    <w:p>
      <w:pPr>
        <w:pStyle w:val="Bibliography"/>
      </w:pPr>
      <w:r>
        <w:t xml:space="preserve">CRD. 2017. “Regional Water Supply 2017 Strategic Plan.” Victoria, B.C.: Capital Region District, Integrated Water Services.</w:t>
      </w:r>
      <w:r>
        <w:t xml:space="preserve"> </w:t>
      </w:r>
      <w:hyperlink r:id="rId220">
        <w:r>
          <w:rPr>
            <w:rStyle w:val="Hyperlink"/>
          </w:rPr>
          <w:t xml:space="preserve">https://www.crd.bc.ca/project/past-capital-projects-and-initiatives/water-supply-plan</w:t>
        </w:r>
      </w:hyperlink>
      <w:r>
        <w:t xml:space="preserve">.</w:t>
      </w:r>
    </w:p>
    <w:bookmarkEnd w:id="221"/>
    <w:bookmarkStart w:id="223"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22">
        <w:r>
          <w:rPr>
            <w:rStyle w:val="Hyperlink"/>
          </w:rPr>
          <w:t xml:space="preserve">https://doi.org/IWSS-297445977-5079</w:t>
        </w:r>
      </w:hyperlink>
      <w:r>
        <w:t xml:space="preserve">.</w:t>
      </w:r>
    </w:p>
    <w:bookmarkEnd w:id="223"/>
    <w:bookmarkStart w:id="224" w:name="ref-CRD2020"/>
    <w:p>
      <w:pPr>
        <w:pStyle w:val="Bibliography"/>
      </w:pPr>
      <w:r>
        <w:t xml:space="preserve">———. 2020. “Unpublished weather station data, Greater Victoria Water Supply Area.” Victoria, B.C.: Capital Regional District, Watershed Protection Division, Integrated Water Services.</w:t>
      </w:r>
    </w:p>
    <w:bookmarkEnd w:id="224"/>
    <w:bookmarkStart w:id="226"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25">
        <w:r>
          <w:rPr>
            <w:rStyle w:val="Hyperlink"/>
          </w:rPr>
          <w:t xml:space="preserve">https://doi.org/10.1139/cjfas-2014-0400</w:t>
        </w:r>
      </w:hyperlink>
      <w:r>
        <w:t xml:space="preserve">.</w:t>
      </w:r>
    </w:p>
    <w:bookmarkEnd w:id="226"/>
    <w:bookmarkStart w:id="228"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27">
        <w:r>
          <w:rPr>
            <w:rStyle w:val="Hyperlink"/>
          </w:rPr>
          <w:t xml:space="preserve">https://doi.org/10.1016/B978-0-12-382092-1.00019-1</w:t>
        </w:r>
      </w:hyperlink>
      <w:r>
        <w:t xml:space="preserve">.</w:t>
      </w:r>
    </w:p>
    <w:bookmarkEnd w:id="228"/>
    <w:bookmarkStart w:id="230"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9">
        <w:r>
          <w:rPr>
            <w:rStyle w:val="Hyperlink"/>
          </w:rPr>
          <w:t xml:space="preserve">https://doi.org/10.1016/j.watres.2016.08.031</w:t>
        </w:r>
      </w:hyperlink>
      <w:r>
        <w:t xml:space="preserve">.</w:t>
      </w:r>
    </w:p>
    <w:bookmarkEnd w:id="230"/>
    <w:bookmarkStart w:id="232" w:name="ref-Diehl2007"/>
    <w:p>
      <w:pPr>
        <w:pStyle w:val="Bibliography"/>
      </w:pPr>
      <w:r>
        <w:t xml:space="preserve">Diehl, Timothy H. 2007. “A Modified Siphon Sampler for Shallow Water.” U.S. Department of the Interior, U.S. Geological Survey.</w:t>
      </w:r>
      <w:r>
        <w:t xml:space="preserve"> </w:t>
      </w:r>
      <w:hyperlink r:id="rId231">
        <w:r>
          <w:rPr>
            <w:rStyle w:val="Hyperlink"/>
          </w:rPr>
          <w:t xml:space="preserve">https://pubs.er.usgs.gov/publication/sir20075282</w:t>
        </w:r>
      </w:hyperlink>
      <w:r>
        <w:t xml:space="preserve">.</w:t>
      </w:r>
    </w:p>
    <w:bookmarkEnd w:id="232"/>
    <w:bookmarkStart w:id="234"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33">
        <w:r>
          <w:rPr>
            <w:rStyle w:val="Hyperlink"/>
          </w:rPr>
          <w:t xml:space="preserve">http://scholar.google.com/scholar?hl=en{\&amp;}btnG=Search{\&amp;}q=intitle:Running+Pure{\#}1</w:t>
        </w:r>
      </w:hyperlink>
      <w:r>
        <w:t xml:space="preserve">.</w:t>
      </w:r>
    </w:p>
    <w:bookmarkEnd w:id="234"/>
    <w:bookmarkStart w:id="236"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35">
        <w:r>
          <w:rPr>
            <w:rStyle w:val="Hyperlink"/>
          </w:rPr>
          <w:t xml:space="preserve">https://doi.org/10.1016/j.watres.2010.08.051</w:t>
        </w:r>
      </w:hyperlink>
      <w:r>
        <w:t xml:space="preserve">.</w:t>
      </w:r>
    </w:p>
    <w:bookmarkEnd w:id="236"/>
    <w:bookmarkStart w:id="237" w:name="ref-Epps1994"/>
    <w:p>
      <w:pPr>
        <w:pStyle w:val="Bibliography"/>
      </w:pPr>
      <w:r>
        <w:t xml:space="preserve">Epps, Deborah Norine. 1994. “Factors Affecting Disinfection By-Products from Surface Source Waters on Vancouver Island.” Master of Science, University of Victoria.</w:t>
      </w:r>
    </w:p>
    <w:bookmarkEnd w:id="237"/>
    <w:bookmarkStart w:id="239"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38">
        <w:r>
          <w:rPr>
            <w:rStyle w:val="Hyperlink"/>
          </w:rPr>
          <w:t xml:space="preserve">https://doi.org/10.1002/(SICI)1099-1085(199903)13:4&lt;563::AID-HYP711&gt;3.0.CO;2-N</w:t>
        </w:r>
      </w:hyperlink>
      <w:r>
        <w:t xml:space="preserve">.</w:t>
      </w:r>
    </w:p>
    <w:bookmarkEnd w:id="239"/>
    <w:bookmarkStart w:id="241"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40">
        <w:r>
          <w:rPr>
            <w:rStyle w:val="Hyperlink"/>
          </w:rPr>
          <w:t xml:space="preserve">https://doi.org/10.1029/97WR01881</w:t>
        </w:r>
      </w:hyperlink>
      <w:r>
        <w:t xml:space="preserve">.</w:t>
      </w:r>
    </w:p>
    <w:bookmarkEnd w:id="241"/>
    <w:bookmarkStart w:id="243" w:name="ref-Feller2005"/>
    <w:p>
      <w:pPr>
        <w:pStyle w:val="Bibliography"/>
      </w:pPr>
      <w:r>
        <w:t xml:space="preserve">Feller, Michael C. 2005. “Forest Harvesting and Streamwater Inorganic Chemistry in Western North America: a Review.”</w:t>
      </w:r>
      <w:r>
        <w:t xml:space="preserve"> </w:t>
      </w:r>
      <w:r>
        <w:rPr>
          <w:i/>
        </w:rPr>
        <w:t xml:space="preserve">Journal of the American Water Resources Association</w:t>
      </w:r>
      <w:r>
        <w:t xml:space="preserve"> </w:t>
      </w:r>
      <w:r>
        <w:t xml:space="preserve">41 (4): 785–811.</w:t>
      </w:r>
      <w:r>
        <w:t xml:space="preserve"> </w:t>
      </w:r>
      <w:hyperlink r:id="rId242">
        <w:r>
          <w:rPr>
            <w:rStyle w:val="Hyperlink"/>
          </w:rPr>
          <w:t xml:space="preserve">https://doi.org/10.1111/j.1752-1688.2005.tb03771.x</w:t>
        </w:r>
      </w:hyperlink>
      <w:r>
        <w:t xml:space="preserve">.</w:t>
      </w:r>
    </w:p>
    <w:bookmarkEnd w:id="243"/>
    <w:bookmarkStart w:id="245" w:name="ref-Fellman2008"/>
    <w:p>
      <w:pPr>
        <w:pStyle w:val="Bibliography"/>
      </w:pPr>
      <w:r>
        <w:t xml:space="preserve">Fellman, Jason B., David V. D’Amore, and Eran Hood. 2008. “An evaluation of freezing as a preservation technique for analyzing dissolved organic C, N and P in surface water samples.”</w:t>
      </w:r>
      <w:r>
        <w:t xml:space="preserve"> </w:t>
      </w:r>
      <w:r>
        <w:rPr>
          <w:i/>
        </w:rPr>
        <w:t xml:space="preserve">Science of the Total Environment</w:t>
      </w:r>
      <w:r>
        <w:t xml:space="preserve"> </w:t>
      </w:r>
      <w:r>
        <w:t xml:space="preserve">392 (2-3): 305–12.</w:t>
      </w:r>
      <w:r>
        <w:t xml:space="preserve"> </w:t>
      </w:r>
      <w:hyperlink r:id="rId244">
        <w:r>
          <w:rPr>
            <w:rStyle w:val="Hyperlink"/>
          </w:rPr>
          <w:t xml:space="preserve">https://doi.org/10.1016/j.scitotenv.2007.11.027</w:t>
        </w:r>
      </w:hyperlink>
      <w:r>
        <w:t xml:space="preserve">.</w:t>
      </w:r>
    </w:p>
    <w:bookmarkEnd w:id="245"/>
    <w:bookmarkStart w:id="247" w:name="ref-SoilsCanada2018"/>
    <w:p>
      <w:pPr>
        <w:pStyle w:val="Bibliography"/>
      </w:pPr>
      <w:r>
        <w:t xml:space="preserve">Government of Canada. 2018. “Soils of British Columbia.”</w:t>
      </w:r>
      <w:r>
        <w:t xml:space="preserve"> </w:t>
      </w:r>
      <w:hyperlink r:id="rId246">
        <w:r>
          <w:rPr>
            <w:rStyle w:val="Hyperlink"/>
          </w:rPr>
          <w:t xml:space="preserve">http://sis.agr.gc.ca/cansis/soils/bc/soils.html</w:t>
        </w:r>
      </w:hyperlink>
      <w:r>
        <w:t xml:space="preserve">.</w:t>
      </w:r>
    </w:p>
    <w:bookmarkEnd w:id="247"/>
    <w:bookmarkStart w:id="249"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48">
        <w:r>
          <w:rPr>
            <w:rStyle w:val="Hyperlink"/>
          </w:rPr>
          <w:t xml:space="preserve">https://doi.org/10.3133/fs06700</w:t>
        </w:r>
      </w:hyperlink>
      <w:r>
        <w:t xml:space="preserve">.</w:t>
      </w:r>
    </w:p>
    <w:bookmarkEnd w:id="249"/>
    <w:bookmarkStart w:id="250"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50"/>
    <w:bookmarkStart w:id="252"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51">
        <w:r>
          <w:rPr>
            <w:rStyle w:val="Hyperlink"/>
          </w:rPr>
          <w:t xml:space="preserve">https://doi.org/10.13031/2013.15662</w:t>
        </w:r>
      </w:hyperlink>
      <w:r>
        <w:t xml:space="preserve">.</w:t>
      </w:r>
    </w:p>
    <w:bookmarkEnd w:id="252"/>
    <w:bookmarkStart w:id="254" w:name="ref-HealthCanada2019"/>
    <w:p>
      <w:pPr>
        <w:pStyle w:val="Bibliography"/>
      </w:pPr>
      <w:r>
        <w:t xml:space="preserve">Health Canada. 2019a. “Guidance on Natural Organic Matter in Drinking Water.”</w:t>
      </w:r>
      <w:r>
        <w:t xml:space="preserve"> </w:t>
      </w:r>
      <w:hyperlink r:id="rId253">
        <w:r>
          <w:rPr>
            <w:rStyle w:val="Hyperlink"/>
          </w:rPr>
          <w:t xml:space="preserve">https://www.canada.ca/content/dam/hc-sc/documents/programs/consultation-organic-matter-drinking-water/NOM20190129-eng.pdf</w:t>
        </w:r>
      </w:hyperlink>
      <w:r>
        <w:t xml:space="preserve">.</w:t>
      </w:r>
    </w:p>
    <w:bookmarkEnd w:id="254"/>
    <w:bookmarkStart w:id="256"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55">
        <w:r>
          <w:rPr>
            <w:rStyle w:val="Hyperlink"/>
          </w:rPr>
          <w:t xml:space="preserve">https://www.canada.ca/content/dam/hc-sc/migration/hc-sc/ewh-semt/alt{\_}formats/pdf/pubs/water-eau/sum{\_}guide-res{\_}recom/summary-table-August-15-2019-eng.pdf</w:t>
        </w:r>
      </w:hyperlink>
      <w:r>
        <w:t xml:space="preserve">.</w:t>
      </w:r>
    </w:p>
    <w:bookmarkEnd w:id="256"/>
    <w:bookmarkStart w:id="258" w:name="ref-HealthCanada2006"/>
    <w:p>
      <w:pPr>
        <w:pStyle w:val="Bibliography"/>
      </w:pPr>
      <w:r>
        <w:t xml:space="preserve">HealthCanada. 2006. “Drinking Water Chlorination.”</w:t>
      </w:r>
      <w:r>
        <w:t xml:space="preserve"> </w:t>
      </w:r>
      <w:hyperlink r:id="rId257">
        <w:r>
          <w:rPr>
            <w:rStyle w:val="Hyperlink"/>
          </w:rPr>
          <w:t xml:space="preserve">https://www.canada.ca/en/health-canada/services/healthy-living/your-health/environment/drinking-water-chlorination.html</w:t>
        </w:r>
      </w:hyperlink>
      <w:r>
        <w:t xml:space="preserve">.</w:t>
      </w:r>
    </w:p>
    <w:bookmarkEnd w:id="258"/>
    <w:bookmarkStart w:id="260" w:name="ref-HealthLinkBC2018"/>
    <w:p>
      <w:pPr>
        <w:pStyle w:val="Bibliography"/>
      </w:pPr>
      <w:r>
        <w:t xml:space="preserve">HealthLinkBC. 2018. “Drinking Water Chlorination Facts.”</w:t>
      </w:r>
      <w:r>
        <w:t xml:space="preserve"> </w:t>
      </w:r>
      <w:hyperlink r:id="rId259">
        <w:r>
          <w:rPr>
            <w:rStyle w:val="Hyperlink"/>
          </w:rPr>
          <w:t xml:space="preserve">https://www.healthlinkbc.ca/healthlinkbc-files/drinking-water-chlorination</w:t>
        </w:r>
      </w:hyperlink>
      <w:r>
        <w:t xml:space="preserve">.</w:t>
      </w:r>
    </w:p>
    <w:bookmarkEnd w:id="260"/>
    <w:bookmarkStart w:id="262"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61">
        <w:r>
          <w:rPr>
            <w:rStyle w:val="Hyperlink"/>
          </w:rPr>
          <w:t xml:space="preserve">https://www.jstor.org/stable/40058211</w:t>
        </w:r>
      </w:hyperlink>
      <w:r>
        <w:t xml:space="preserve">.</w:t>
      </w:r>
    </w:p>
    <w:bookmarkEnd w:id="262"/>
    <w:bookmarkStart w:id="264"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63">
        <w:r>
          <w:rPr>
            <w:rStyle w:val="Hyperlink"/>
          </w:rPr>
          <w:t xml:space="preserve">https://doi.org/10.1029/2005JG000082</w:t>
        </w:r>
      </w:hyperlink>
      <w:r>
        <w:t xml:space="preserve">.</w:t>
      </w:r>
    </w:p>
    <w:bookmarkEnd w:id="264"/>
    <w:bookmarkStart w:id="266"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65">
        <w:r>
          <w:rPr>
            <w:rStyle w:val="Hyperlink"/>
          </w:rPr>
          <w:t xml:space="preserve">https://doi.org/10.1002/j.1551-8833.1995.tb06302.x</w:t>
        </w:r>
      </w:hyperlink>
      <w:r>
        <w:t xml:space="preserve">.</w:t>
      </w:r>
    </w:p>
    <w:bookmarkEnd w:id="266"/>
    <w:bookmarkStart w:id="268" w:name="ref-JimenezCisneros2014"/>
    <w:p>
      <w:pPr>
        <w:pStyle w:val="Bibliography"/>
      </w:pPr>
      <w:r>
        <w:t xml:space="preserve">Jiménez Cisneros, Blanca E., Taikan Oki, Nigel W. Arnell, Gerardo Benito, J. Graham Cogley, Petra Döll, Tong Jiang, Shadrack S. Mwakalila, Zbigniew Kundzewicz, and Asako Nishijima. 2014. “Freshwater resources.” Contribution of Working Group II to the Fifth Assessment Report of the Intergovernmental Panel on Climate Change.</w:t>
      </w:r>
      <w:r>
        <w:t xml:space="preserve"> </w:t>
      </w:r>
      <w:hyperlink r:id="rId267">
        <w:r>
          <w:rPr>
            <w:rStyle w:val="Hyperlink"/>
          </w:rPr>
          <w:t xml:space="preserve">https://doi.org/10.1017/CBO9781107415379.008</w:t>
        </w:r>
      </w:hyperlink>
      <w:r>
        <w:t xml:space="preserve">.</w:t>
      </w:r>
    </w:p>
    <w:bookmarkEnd w:id="268"/>
    <w:bookmarkStart w:id="270"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69">
        <w:r>
          <w:rPr>
            <w:rStyle w:val="Hyperlink"/>
          </w:rPr>
          <w:t xml:space="preserve">https://doi.org/doi:10.1046/j.1365-2427.1997.d01-539.x</w:t>
        </w:r>
      </w:hyperlink>
      <w:r>
        <w:t xml:space="preserve">.</w:t>
      </w:r>
    </w:p>
    <w:bookmarkEnd w:id="270"/>
    <w:bookmarkStart w:id="272" w:name="ref-Kalbitz2000"/>
    <w:p>
      <w:pPr>
        <w:pStyle w:val="Bibliography"/>
      </w:pPr>
      <w:r>
        <w:t xml:space="preserve">Kalbitz, K., S. Solinger, J. H. Park, B. Michalzik, and E. Matzner. 2000. “Controls on the dynamics dissolved organic matter in soils: A review.”</w:t>
      </w:r>
      <w:r>
        <w:t xml:space="preserve"> </w:t>
      </w:r>
      <w:r>
        <w:rPr>
          <w:i/>
        </w:rPr>
        <w:t xml:space="preserve">Soil Science</w:t>
      </w:r>
      <w:r>
        <w:t xml:space="preserve"> </w:t>
      </w:r>
      <w:r>
        <w:t xml:space="preserve">165 (4): 277–304.</w:t>
      </w:r>
      <w:r>
        <w:t xml:space="preserve"> </w:t>
      </w:r>
      <w:hyperlink r:id="rId271">
        <w:r>
          <w:rPr>
            <w:rStyle w:val="Hyperlink"/>
          </w:rPr>
          <w:t xml:space="preserve">https://doi.org/10.1097/00010694-200004000-00001</w:t>
        </w:r>
      </w:hyperlink>
      <w:r>
        <w:t xml:space="preserve">.</w:t>
      </w:r>
    </w:p>
    <w:bookmarkEnd w:id="272"/>
    <w:bookmarkStart w:id="274"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73">
        <w:r>
          <w:rPr>
            <w:rStyle w:val="Hyperlink"/>
          </w:rPr>
          <w:t xml:space="preserve">https://www.jstor.org/stable/41311011</w:t>
        </w:r>
      </w:hyperlink>
      <w:r>
        <w:t xml:space="preserve">.</w:t>
      </w:r>
    </w:p>
    <w:bookmarkEnd w:id="274"/>
    <w:bookmarkStart w:id="276"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75">
        <w:r>
          <w:rPr>
            <w:rStyle w:val="Hyperlink"/>
          </w:rPr>
          <w:t xml:space="preserve">https://doi.org/10.1002/j.1551-8833.2002.tb10250.x</w:t>
        </w:r>
      </w:hyperlink>
      <w:r>
        <w:t xml:space="preserve">.</w:t>
      </w:r>
    </w:p>
    <w:bookmarkEnd w:id="276"/>
    <w:bookmarkStart w:id="278" w:name="ref-Kellerman2018"/>
    <w:p>
      <w:pPr>
        <w:pStyle w:val="Bibliography"/>
      </w:pPr>
      <w:r>
        <w:t xml:space="preserve">Kellerman, Anne M., François Guillemette, David C. Podgorski, George R. Aiken, Kenna D. Butler, and Robert G. M. Spencer. 2018. “Unifying Concepts Linking Dissolved Organic Matter Composition to Persistence in Aquatic Ecosystems.”</w:t>
      </w:r>
      <w:r>
        <w:t xml:space="preserve"> </w:t>
      </w:r>
      <w:r>
        <w:rPr>
          <w:i/>
        </w:rPr>
        <w:t xml:space="preserve">Environmental Science and Technology</w:t>
      </w:r>
      <w:r>
        <w:t xml:space="preserve"> </w:t>
      </w:r>
      <w:r>
        <w:t xml:space="preserve">52 (5): 2538–48.</w:t>
      </w:r>
      <w:r>
        <w:t xml:space="preserve"> </w:t>
      </w:r>
      <w:hyperlink r:id="rId277">
        <w:r>
          <w:rPr>
            <w:rStyle w:val="Hyperlink"/>
          </w:rPr>
          <w:t xml:space="preserve">https://doi.org/10.1021/acs.est.7b05513</w:t>
        </w:r>
      </w:hyperlink>
      <w:r>
        <w:t xml:space="preserve">.</w:t>
      </w:r>
    </w:p>
    <w:bookmarkEnd w:id="278"/>
    <w:bookmarkStart w:id="280" w:name="ref-Kiewiet2020"/>
    <w:p>
      <w:pPr>
        <w:pStyle w:val="Bibliography"/>
      </w:pPr>
      <w:r>
        <w:t xml:space="preserve">Kiewiet, Leonie, Ilja Van Meerveld, Manfred Stähli, and Jan Seibert. 2020. “Do stream water solute concentrations reflect when connectivity occurs in a small, pre-Alpine headwater catchment?”</w:t>
      </w:r>
      <w:r>
        <w:t xml:space="preserve"> </w:t>
      </w:r>
      <w:r>
        <w:rPr>
          <w:i/>
        </w:rPr>
        <w:t xml:space="preserve">Hydrology and Earth System Sciences</w:t>
      </w:r>
      <w:r>
        <w:t xml:space="preserve"> </w:t>
      </w:r>
      <w:r>
        <w:t xml:space="preserve">24 (7): 3381–98.</w:t>
      </w:r>
      <w:r>
        <w:t xml:space="preserve"> </w:t>
      </w:r>
      <w:hyperlink r:id="rId279">
        <w:r>
          <w:rPr>
            <w:rStyle w:val="Hyperlink"/>
          </w:rPr>
          <w:t xml:space="preserve">https://doi.org/10.5194/hess-24-3381-2020</w:t>
        </w:r>
      </w:hyperlink>
      <w:r>
        <w:t xml:space="preserve">.</w:t>
      </w:r>
    </w:p>
    <w:bookmarkEnd w:id="280"/>
    <w:bookmarkStart w:id="282"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81">
        <w:r>
          <w:rPr>
            <w:rStyle w:val="Hyperlink"/>
          </w:rPr>
          <w:t xml:space="preserve">https://doi.org/10.1029/2005WR004362</w:t>
        </w:r>
      </w:hyperlink>
      <w:r>
        <w:t xml:space="preserve">.</w:t>
      </w:r>
    </w:p>
    <w:bookmarkEnd w:id="282"/>
    <w:bookmarkStart w:id="284"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83">
        <w:r>
          <w:rPr>
            <w:rStyle w:val="Hyperlink"/>
          </w:rPr>
          <w:t xml:space="preserve">https://doi.org/10.5194/bg-11-3043-2014</w:t>
        </w:r>
      </w:hyperlink>
      <w:r>
        <w:t xml:space="preserve">.</w:t>
      </w:r>
    </w:p>
    <w:bookmarkEnd w:id="284"/>
    <w:bookmarkStart w:id="286" w:name="ref-Laudon2013"/>
    <w:p>
      <w:pPr>
        <w:pStyle w:val="Bibliography"/>
      </w:pPr>
      <w:r>
        <w:t xml:space="preserve">Laudon, Hjalmar, Doerthe Tetzlaff, Chris Soulsby, Sean Carey, Jan Seibert, Jim Buttle, Jamie Shanley, Jeffrey J. Mcdonnell, and Kevin Mcguire. 2013. “Change in winter climate will affect dissolved organic carbon and water fluxes in mid-to-high latitude catchments.”</w:t>
      </w:r>
      <w:r>
        <w:t xml:space="preserve"> </w:t>
      </w:r>
      <w:r>
        <w:rPr>
          <w:i/>
        </w:rPr>
        <w:t xml:space="preserve">Hydrological Processes</w:t>
      </w:r>
      <w:r>
        <w:t xml:space="preserve"> </w:t>
      </w:r>
      <w:r>
        <w:t xml:space="preserve">27 (5): 700–709.</w:t>
      </w:r>
      <w:r>
        <w:t xml:space="preserve"> </w:t>
      </w:r>
      <w:hyperlink r:id="rId285">
        <w:r>
          <w:rPr>
            <w:rStyle w:val="Hyperlink"/>
          </w:rPr>
          <w:t xml:space="preserve">https://doi.org/10.1002/hyp.9686</w:t>
        </w:r>
      </w:hyperlink>
      <w:r>
        <w:t xml:space="preserve">.</w:t>
      </w:r>
    </w:p>
    <w:bookmarkEnd w:id="286"/>
    <w:bookmarkStart w:id="288"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87">
        <w:r>
          <w:rPr>
            <w:rStyle w:val="Hyperlink"/>
          </w:rPr>
          <w:t xml:space="preserve">https://archive.org/details/metaltransportre00lazeuoft/mode/2up</w:t>
        </w:r>
      </w:hyperlink>
      <w:r>
        <w:t xml:space="preserve">.</w:t>
      </w:r>
    </w:p>
    <w:bookmarkEnd w:id="288"/>
    <w:bookmarkStart w:id="290" w:name="ref-Levine2016"/>
    <w:p>
      <w:pPr>
        <w:pStyle w:val="Bibliography"/>
      </w:pPr>
      <w:r>
        <w:t xml:space="preserve">Levine, Audrey D., Y. Jeffrey Yang, and James A. Goodrich. 2016. “Enhancing climate adaptation capacity for drinking water treatment facilities.”</w:t>
      </w:r>
      <w:r>
        <w:t xml:space="preserve"> </w:t>
      </w:r>
      <w:r>
        <w:rPr>
          <w:i/>
        </w:rPr>
        <w:t xml:space="preserve">Journal of Water and Climate Change</w:t>
      </w:r>
      <w:r>
        <w:t xml:space="preserve"> </w:t>
      </w:r>
      <w:r>
        <w:t xml:space="preserve">7 (3): 485–97.</w:t>
      </w:r>
      <w:r>
        <w:t xml:space="preserve"> </w:t>
      </w:r>
      <w:hyperlink r:id="rId289">
        <w:r>
          <w:rPr>
            <w:rStyle w:val="Hyperlink"/>
          </w:rPr>
          <w:t xml:space="preserve">https://doi.org/10.2166/wcc.2016.011</w:t>
        </w:r>
      </w:hyperlink>
      <w:r>
        <w:t xml:space="preserve">.</w:t>
      </w:r>
    </w:p>
    <w:bookmarkEnd w:id="290"/>
    <w:bookmarkStart w:id="292"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91">
        <w:r>
          <w:rPr>
            <w:rStyle w:val="Hyperlink"/>
          </w:rPr>
          <w:t xml:space="preserve">https://doi.org/10.1016/j.jhazmat.2014.02.009</w:t>
        </w:r>
      </w:hyperlink>
      <w:r>
        <w:t xml:space="preserve">.</w:t>
      </w:r>
    </w:p>
    <w:bookmarkEnd w:id="292"/>
    <w:bookmarkStart w:id="294" w:name="ref-Liaw2018"/>
    <w:p>
      <w:pPr>
        <w:pStyle w:val="Bibliography"/>
      </w:pPr>
      <w:r>
        <w:t xml:space="preserve">Liaw, Andy, and Matthew Wiener. 2018. “randomForest: Breiman and Cutler’s Random Forests for Classification and Regression.” CRAN.</w:t>
      </w:r>
      <w:r>
        <w:t xml:space="preserve"> </w:t>
      </w:r>
      <w:hyperlink r:id="rId293">
        <w:r>
          <w:rPr>
            <w:rStyle w:val="Hyperlink"/>
          </w:rPr>
          <w:t xml:space="preserve">https://doi.org/10.1023/A:1010933404324</w:t>
        </w:r>
      </w:hyperlink>
      <w:r>
        <w:t xml:space="preserve">.</w:t>
      </w:r>
    </w:p>
    <w:bookmarkEnd w:id="294"/>
    <w:bookmarkStart w:id="296"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95">
        <w:r>
          <w:rPr>
            <w:rStyle w:val="Hyperlink"/>
          </w:rPr>
          <w:t xml:space="preserve">https://doi.org/10.1002/rra.1504</w:t>
        </w:r>
      </w:hyperlink>
      <w:r>
        <w:t xml:space="preserve">.</w:t>
      </w:r>
    </w:p>
    <w:bookmarkEnd w:id="296"/>
    <w:bookmarkStart w:id="298"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97">
        <w:r>
          <w:rPr>
            <w:rStyle w:val="Hyperlink"/>
          </w:rPr>
          <w:t xml:space="preserve">https://doi.org/10.1016/j.chemosphere.2011.01.018</w:t>
        </w:r>
      </w:hyperlink>
      <w:r>
        <w:t xml:space="preserve">.</w:t>
      </w:r>
    </w:p>
    <w:bookmarkEnd w:id="298"/>
    <w:bookmarkStart w:id="300"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99">
        <w:r>
          <w:rPr>
            <w:rStyle w:val="Hyperlink"/>
          </w:rPr>
          <w:t xml:space="preserve">https://doi.org/10.1016/j.cis.2010.06.007</w:t>
        </w:r>
      </w:hyperlink>
      <w:r>
        <w:t xml:space="preserve">.</w:t>
      </w:r>
    </w:p>
    <w:bookmarkEnd w:id="300"/>
    <w:bookmarkStart w:id="302" w:name="ref-McGuire2010"/>
    <w:p>
      <w:pPr>
        <w:pStyle w:val="Bibliography"/>
      </w:pPr>
      <w:r>
        <w:t xml:space="preserve">McGuire, Kevin J., and Jeffrey J. McDonnell. 2010. “Hydrological connectivity of hillslopes and streams: Characteristic time scales and nonlinearities.”</w:t>
      </w:r>
      <w:r>
        <w:t xml:space="preserve"> </w:t>
      </w:r>
      <w:r>
        <w:rPr>
          <w:i/>
        </w:rPr>
        <w:t xml:space="preserve">Water Resources Research</w:t>
      </w:r>
      <w:r>
        <w:t xml:space="preserve"> </w:t>
      </w:r>
      <w:r>
        <w:t xml:space="preserve">46 (10): 1–18.</w:t>
      </w:r>
      <w:r>
        <w:t xml:space="preserve"> </w:t>
      </w:r>
      <w:hyperlink r:id="rId301">
        <w:r>
          <w:rPr>
            <w:rStyle w:val="Hyperlink"/>
          </w:rPr>
          <w:t xml:space="preserve">https://doi.org/10.1029/2010WR009341</w:t>
        </w:r>
      </w:hyperlink>
      <w:r>
        <w:t xml:space="preserve">.</w:t>
      </w:r>
    </w:p>
    <w:bookmarkEnd w:id="302"/>
    <w:bookmarkStart w:id="304"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303">
        <w:r>
          <w:rPr>
            <w:rStyle w:val="Hyperlink"/>
          </w:rPr>
          <w:t xml:space="preserve">https://doi.org/10.1007/s10533-018-0482-6</w:t>
        </w:r>
      </w:hyperlink>
      <w:r>
        <w:t xml:space="preserve">.</w:t>
      </w:r>
    </w:p>
    <w:bookmarkEnd w:id="304"/>
    <w:bookmarkStart w:id="306"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305">
        <w:r>
          <w:rPr>
            <w:rStyle w:val="Hyperlink"/>
          </w:rPr>
          <w:t xml:space="preserve">https://www.jstor.org/stable/1937326</w:t>
        </w:r>
      </w:hyperlink>
      <w:r>
        <w:t xml:space="preserve">.</w:t>
      </w:r>
    </w:p>
    <w:bookmarkEnd w:id="306"/>
    <w:bookmarkStart w:id="308"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307">
        <w:r>
          <w:rPr>
            <w:rStyle w:val="Hyperlink"/>
          </w:rPr>
          <w:t xml:space="preserve">https://doi.org/10.14288/1.0387350</w:t>
        </w:r>
      </w:hyperlink>
      <w:r>
        <w:t xml:space="preserve">.</w:t>
      </w:r>
    </w:p>
    <w:bookmarkEnd w:id="308"/>
    <w:bookmarkStart w:id="310"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309">
        <w:r>
          <w:rPr>
            <w:rStyle w:val="Hyperlink"/>
          </w:rPr>
          <w:t xml:space="preserve">https://doi.org/10.1007/s10533-015-0103-6</w:t>
        </w:r>
      </w:hyperlink>
      <w:r>
        <w:t xml:space="preserve">.</w:t>
      </w:r>
    </w:p>
    <w:bookmarkEnd w:id="310"/>
    <w:bookmarkStart w:id="312" w:name="ref-Musolff2018"/>
    <w:p>
      <w:pPr>
        <w:pStyle w:val="Bibliography"/>
      </w:pPr>
      <w:r>
        <w:t xml:space="preserve">Musolff, A., J. H. Fleckenstein, M. Opitz, O. Büttner, R. Kumar, and J. Tittel. 2018. “Spatio-temporal controls of dissolved organic carbon stream water concentrations.”</w:t>
      </w:r>
      <w:r>
        <w:t xml:space="preserve"> </w:t>
      </w:r>
      <w:r>
        <w:rPr>
          <w:i/>
        </w:rPr>
        <w:t xml:space="preserve">Journal of Hydrology</w:t>
      </w:r>
      <w:r>
        <w:t xml:space="preserve"> </w:t>
      </w:r>
      <w:r>
        <w:t xml:space="preserve">566 (November): 205–15.</w:t>
      </w:r>
      <w:r>
        <w:t xml:space="preserve"> </w:t>
      </w:r>
      <w:hyperlink r:id="rId311">
        <w:r>
          <w:rPr>
            <w:rStyle w:val="Hyperlink"/>
          </w:rPr>
          <w:t xml:space="preserve">https://doi.org/10.1016/J.JHYDROL.2018.09.011</w:t>
        </w:r>
      </w:hyperlink>
      <w:r>
        <w:t xml:space="preserve">.</w:t>
      </w:r>
    </w:p>
    <w:bookmarkEnd w:id="312"/>
    <w:bookmarkStart w:id="314"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313">
        <w:r>
          <w:rPr>
            <w:rStyle w:val="Hyperlink"/>
          </w:rPr>
          <w:t xml:space="preserve">https://doi.org/10.1016/j.advwatres.2015.09.026</w:t>
        </w:r>
      </w:hyperlink>
      <w:r>
        <w:t xml:space="preserve">.</w:t>
      </w:r>
    </w:p>
    <w:bookmarkEnd w:id="314"/>
    <w:bookmarkStart w:id="316"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315">
        <w:r>
          <w:rPr>
            <w:rStyle w:val="Hyperlink"/>
          </w:rPr>
          <w:t xml:space="preserve">http://hdl.handle.net/1885/40940</w:t>
        </w:r>
      </w:hyperlink>
      <w:r>
        <w:t xml:space="preserve">.</w:t>
      </w:r>
    </w:p>
    <w:bookmarkEnd w:id="316"/>
    <w:bookmarkStart w:id="318" w:name="ref-Oliver2017"/>
    <w:p>
      <w:pPr>
        <w:pStyle w:val="Bibliography"/>
      </w:pPr>
      <w:r>
        <w:t xml:space="preserve">Oliver, Allison A., Suzanne E. Tank, Ian Giesbrecht, Maartje C. Korver, William C. Floyd, Paul Sanborn, Chuck Bulmer, and Ken P. Lertzman. 2017. “A global hotspot for dissolved organic carbon in hypermaritime watersheds of coastal British Columbia.”</w:t>
      </w:r>
      <w:r>
        <w:t xml:space="preserve"> </w:t>
      </w:r>
      <w:r>
        <w:rPr>
          <w:i/>
        </w:rPr>
        <w:t xml:space="preserve">Biogeosciences</w:t>
      </w:r>
      <w:r>
        <w:t xml:space="preserve"> </w:t>
      </w:r>
      <w:r>
        <w:t xml:space="preserve">14 (15): 3743–62.</w:t>
      </w:r>
      <w:r>
        <w:t xml:space="preserve"> </w:t>
      </w:r>
      <w:hyperlink r:id="rId317">
        <w:r>
          <w:rPr>
            <w:rStyle w:val="Hyperlink"/>
          </w:rPr>
          <w:t xml:space="preserve">https://doi.org/10.5194/bg-14-3743-2017</w:t>
        </w:r>
      </w:hyperlink>
      <w:r>
        <w:t xml:space="preserve">.</w:t>
      </w:r>
    </w:p>
    <w:bookmarkEnd w:id="318"/>
    <w:bookmarkStart w:id="320"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319">
        <w:r>
          <w:rPr>
            <w:rStyle w:val="Hyperlink"/>
          </w:rPr>
          <w:t xml:space="preserve">https://doi.org/10.5194/bg-10-2315-2013</w:t>
        </w:r>
      </w:hyperlink>
      <w:r>
        <w:t xml:space="preserve">.</w:t>
      </w:r>
    </w:p>
    <w:bookmarkEnd w:id="320"/>
    <w:bookmarkStart w:id="322" w:name="ref-Oswald2014"/>
    <w:p>
      <w:pPr>
        <w:pStyle w:val="Bibliography"/>
      </w:pPr>
      <w:r>
        <w:t xml:space="preserve">Oswald, Claire J, and Brian A Branfireun. 2014. “Antecedent moisture conditions control mercury and dissolved organic carbon concentration dynamics in a boreal headwater catchment.”</w:t>
      </w:r>
      <w:r>
        <w:t xml:space="preserve"> </w:t>
      </w:r>
      <w:r>
        <w:rPr>
          <w:i/>
        </w:rPr>
        <w:t xml:space="preserve">Water Resources Research</w:t>
      </w:r>
      <w:r>
        <w:t xml:space="preserve"> </w:t>
      </w:r>
      <w:r>
        <w:t xml:space="preserve">50 (8): 6610–27.</w:t>
      </w:r>
      <w:r>
        <w:t xml:space="preserve"> </w:t>
      </w:r>
      <w:hyperlink r:id="rId321">
        <w:r>
          <w:rPr>
            <w:rStyle w:val="Hyperlink"/>
          </w:rPr>
          <w:t xml:space="preserve">https://doi.org/10.1002/2013WR014736</w:t>
        </w:r>
      </w:hyperlink>
      <w:r>
        <w:t xml:space="preserve">.</w:t>
      </w:r>
    </w:p>
    <w:bookmarkEnd w:id="322"/>
    <w:bookmarkStart w:id="324"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323">
        <w:r>
          <w:rPr>
            <w:rStyle w:val="Hyperlink"/>
          </w:rPr>
          <w:t xml:space="preserve">http://www.jstor.com/stable/41295152</w:t>
        </w:r>
      </w:hyperlink>
      <w:r>
        <w:t xml:space="preserve">.</w:t>
      </w:r>
    </w:p>
    <w:bookmarkEnd w:id="324"/>
    <w:bookmarkStart w:id="326"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325">
        <w:r>
          <w:rPr>
            <w:rStyle w:val="Hyperlink"/>
          </w:rPr>
          <w:t xml:space="preserve">https://doi.org/10.1007/s11270-013-1651-9</w:t>
        </w:r>
      </w:hyperlink>
      <w:r>
        <w:t xml:space="preserve">.</w:t>
      </w:r>
    </w:p>
    <w:bookmarkEnd w:id="326"/>
    <w:bookmarkStart w:id="328" w:name="ref-PCIC2020"/>
    <w:p>
      <w:pPr>
        <w:pStyle w:val="Bibliography"/>
      </w:pPr>
      <w:r>
        <w:t xml:space="preserve">PCIC. 2020. “Seasonal Anomaly Maps, Analysis Tools.”</w:t>
      </w:r>
      <w:r>
        <w:t xml:space="preserve"> </w:t>
      </w:r>
      <w:hyperlink r:id="rId327">
        <w:r>
          <w:rPr>
            <w:rStyle w:val="Hyperlink"/>
          </w:rPr>
          <w:t xml:space="preserve">https://pacificclimate.org/analysis-tools/seasonal-anomaly-maps</w:t>
        </w:r>
      </w:hyperlink>
      <w:r>
        <w:t xml:space="preserve">.</w:t>
      </w:r>
    </w:p>
    <w:bookmarkEnd w:id="328"/>
    <w:bookmarkStart w:id="330" w:name="ref-Penna2019"/>
    <w:p>
      <w:pPr>
        <w:pStyle w:val="Bibliography"/>
      </w:pPr>
      <w:r>
        <w:t xml:space="preserve">Penna, Daniele, and H. J. (Ilja) van Meerveld. 2019. “Spatial variability in the isotopic composition of water in small catchments and its effect on hydrograph separation.”</w:t>
      </w:r>
      <w:r>
        <w:t xml:space="preserve"> </w:t>
      </w:r>
      <w:r>
        <w:rPr>
          <w:i/>
        </w:rPr>
        <w:t xml:space="preserve">Wiley Interdisciplinary Reviews: Water</w:t>
      </w:r>
      <w:r>
        <w:t xml:space="preserve"> </w:t>
      </w:r>
      <w:r>
        <w:t xml:space="preserve">6 (5): 1–33.</w:t>
      </w:r>
      <w:r>
        <w:t xml:space="preserve"> </w:t>
      </w:r>
      <w:hyperlink r:id="rId329">
        <w:r>
          <w:rPr>
            <w:rStyle w:val="Hyperlink"/>
          </w:rPr>
          <w:t xml:space="preserve">https://doi.org/10.1002/wat2.1367</w:t>
        </w:r>
      </w:hyperlink>
      <w:r>
        <w:t xml:space="preserve">.</w:t>
      </w:r>
    </w:p>
    <w:bookmarkEnd w:id="330"/>
    <w:bookmarkStart w:id="332"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331">
        <w:r>
          <w:rPr>
            <w:rStyle w:val="Hyperlink"/>
          </w:rPr>
          <w:t xml:space="preserve">https://doi.org/10.1016/S0003-2670(96)00412-6</w:t>
        </w:r>
      </w:hyperlink>
      <w:r>
        <w:t xml:space="preserve">.</w:t>
      </w:r>
    </w:p>
    <w:bookmarkEnd w:id="332"/>
    <w:bookmarkStart w:id="334"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333">
        <w:r>
          <w:rPr>
            <w:rStyle w:val="Hyperlink"/>
          </w:rPr>
          <w:t xml:space="preserve">https://www.for.gov.bc.ca/hfd/pubs/docs/lmh/Lmh66/LMH66{\_}volume2of2.pdf</w:t>
        </w:r>
      </w:hyperlink>
      <w:r>
        <w:t xml:space="preserve">.</w:t>
      </w:r>
    </w:p>
    <w:bookmarkEnd w:id="334"/>
    <w:bookmarkStart w:id="336" w:name="ref-Rasilo2015"/>
    <w:p>
      <w:pPr>
        <w:pStyle w:val="Bibliography"/>
      </w:pPr>
      <w:r>
        <w:t xml:space="preserve">Rasilo, Terhi, Anne Ojala, Jussi Huotari, Mike Starr, and Jukka Pumpanen. 2015. “Concentrations and quality of DOC along the terrestrial-aquatic continuum in a boreal forested catchment.”</w:t>
      </w:r>
      <w:r>
        <w:t xml:space="preserve"> </w:t>
      </w:r>
      <w:r>
        <w:rPr>
          <w:i/>
        </w:rPr>
        <w:t xml:space="preserve">Freshwater Science</w:t>
      </w:r>
      <w:r>
        <w:t xml:space="preserve"> </w:t>
      </w:r>
      <w:r>
        <w:t xml:space="preserve">34 (2): 440–55.</w:t>
      </w:r>
      <w:r>
        <w:t xml:space="preserve"> </w:t>
      </w:r>
      <w:hyperlink r:id="rId335">
        <w:r>
          <w:rPr>
            <w:rStyle w:val="Hyperlink"/>
          </w:rPr>
          <w:t xml:space="preserve">https://doi.org/10.1086/680682</w:t>
        </w:r>
      </w:hyperlink>
      <w:r>
        <w:t xml:space="preserve">.</w:t>
      </w:r>
    </w:p>
    <w:bookmarkEnd w:id="336"/>
    <w:bookmarkStart w:id="338"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337">
        <w:r>
          <w:rPr>
            <w:rStyle w:val="Hyperlink"/>
          </w:rPr>
          <w:t xml:space="preserve">https://doi.org/10.1007/sl0533-010-9416-7</w:t>
        </w:r>
      </w:hyperlink>
      <w:r>
        <w:t xml:space="preserve">.</w:t>
      </w:r>
    </w:p>
    <w:bookmarkEnd w:id="338"/>
    <w:bookmarkStart w:id="340"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39">
        <w:r>
          <w:rPr>
            <w:rStyle w:val="Hyperlink"/>
          </w:rPr>
          <w:t xml:space="preserve">https://www.jstor.org/stable/24702986</w:t>
        </w:r>
      </w:hyperlink>
      <w:r>
        <w:t xml:space="preserve">.</w:t>
      </w:r>
    </w:p>
    <w:bookmarkEnd w:id="340"/>
    <w:bookmarkStart w:id="342"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41">
        <w:r>
          <w:rPr>
            <w:rStyle w:val="Hyperlink"/>
          </w:rPr>
          <w:t xml:space="preserve">https://doi.org/10.1016/j.scitotenv.2016.09.113</w:t>
        </w:r>
      </w:hyperlink>
      <w:r>
        <w:t xml:space="preserve">.</w:t>
      </w:r>
    </w:p>
    <w:bookmarkEnd w:id="342"/>
    <w:bookmarkStart w:id="344"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43">
        <w:r>
          <w:rPr>
            <w:rStyle w:val="Hyperlink"/>
          </w:rPr>
          <w:t xml:space="preserve">https://doi.org/10.1111/j.1365-2427.2011.02613.x</w:t>
        </w:r>
      </w:hyperlink>
      <w:r>
        <w:t xml:space="preserve">.</w:t>
      </w:r>
    </w:p>
    <w:bookmarkEnd w:id="344"/>
    <w:bookmarkStart w:id="346"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45">
        <w:r>
          <w:rPr>
            <w:rStyle w:val="Hyperlink"/>
          </w:rPr>
          <w:t xml:space="preserve">https://doi.org/10.1186/1471-2105-9-307</w:t>
        </w:r>
      </w:hyperlink>
      <w:r>
        <w:t xml:space="preserve">.</w:t>
      </w:r>
    </w:p>
    <w:bookmarkEnd w:id="346"/>
    <w:bookmarkStart w:id="348"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47">
        <w:r>
          <w:rPr>
            <w:rStyle w:val="Hyperlink"/>
          </w:rPr>
          <w:t xml:space="preserve">https://doi.org/10.1037/a0016973</w:t>
        </w:r>
      </w:hyperlink>
      <w:r>
        <w:t xml:space="preserve">.</w:t>
      </w:r>
    </w:p>
    <w:bookmarkEnd w:id="348"/>
    <w:bookmarkStart w:id="350"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49">
        <w:r>
          <w:rPr>
            <w:rStyle w:val="Hyperlink"/>
          </w:rPr>
          <w:t xml:space="preserve">https://doi.org/10.1016/j.jenvman.2007.03.001</w:t>
        </w:r>
      </w:hyperlink>
      <w:r>
        <w:t xml:space="preserve">.</w:t>
      </w:r>
    </w:p>
    <w:bookmarkEnd w:id="350"/>
    <w:bookmarkStart w:id="352"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51">
        <w:r>
          <w:rPr>
            <w:rStyle w:val="Hyperlink"/>
          </w:rPr>
          <w:t xml:space="preserve">https://doi.org/10.3390</w:t>
        </w:r>
      </w:hyperlink>
      <w:r>
        <w:t xml:space="preserve">.</w:t>
      </w:r>
    </w:p>
    <w:bookmarkEnd w:id="352"/>
    <w:bookmarkStart w:id="353"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53"/>
    <w:bookmarkStart w:id="354"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54"/>
    <w:bookmarkStart w:id="356"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55">
        <w:r>
          <w:rPr>
            <w:rStyle w:val="Hyperlink"/>
          </w:rPr>
          <w:t xml:space="preserve">https://doi.org/10.1007/s10533-019-00561-w</w:t>
        </w:r>
      </w:hyperlink>
      <w:r>
        <w:t xml:space="preserve">.</w:t>
      </w:r>
    </w:p>
    <w:bookmarkEnd w:id="356"/>
    <w:bookmarkStart w:id="358"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57">
        <w:r>
          <w:rPr>
            <w:rStyle w:val="Hyperlink"/>
          </w:rPr>
          <w:t xml:space="preserve">https://doi.org/10.1007/s10533-008-9207-6</w:t>
        </w:r>
      </w:hyperlink>
      <w:r>
        <w:t xml:space="preserve">.</w:t>
      </w:r>
    </w:p>
    <w:bookmarkEnd w:id="358"/>
    <w:bookmarkStart w:id="360"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59">
        <w:r>
          <w:rPr>
            <w:rStyle w:val="Hyperlink"/>
          </w:rPr>
          <w:t xml:space="preserve">https://doi.org/10.1021/es030360x</w:t>
        </w:r>
      </w:hyperlink>
      <w:r>
        <w:t xml:space="preserve">.</w:t>
      </w:r>
    </w:p>
    <w:bookmarkEnd w:id="360"/>
    <w:bookmarkStart w:id="362"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61">
        <w:r>
          <w:rPr>
            <w:rStyle w:val="Hyperlink"/>
          </w:rPr>
          <w:t xml:space="preserve">https://doi.org/10.1007/s11356-015-4078-6</w:t>
        </w:r>
      </w:hyperlink>
      <w:r>
        <w:t xml:space="preserve">.</w:t>
      </w:r>
    </w:p>
    <w:bookmarkEnd w:id="362"/>
    <w:bookmarkStart w:id="364"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63">
        <w:r>
          <w:rPr>
            <w:rStyle w:val="Hyperlink"/>
          </w:rPr>
          <w:t xml:space="preserve">https://doi.org/10.1029/2018GL080005</w:t>
        </w:r>
      </w:hyperlink>
      <w:r>
        <w:t xml:space="preserve">.</w:t>
      </w:r>
    </w:p>
    <w:bookmarkEnd w:id="364"/>
    <w:bookmarkEnd w:id="365"/>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7" Target="media/rId147.png" /><Relationship Type="http://schemas.openxmlformats.org/officeDocument/2006/relationships/image" Id="rId43" Target="media/rId43.png" /><Relationship Type="http://schemas.openxmlformats.org/officeDocument/2006/relationships/image" Id="rId64" Target="media/rId64.png" /><Relationship Type="http://schemas.openxmlformats.org/officeDocument/2006/relationships/image" Id="rId143" Target="media/rId143.jp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93" Target="media/rId93.png" /><Relationship Type="http://schemas.openxmlformats.org/officeDocument/2006/relationships/image" Id="rId173" Target="media/rId173.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181" Target="media/rId181.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74" Target="media/rId174.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80" Target="media/rId180.png" /><Relationship Type="http://schemas.openxmlformats.org/officeDocument/2006/relationships/image" Id="rId179" Target="media/rId17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4" Target="media/rId154.png" /><Relationship Type="http://schemas.openxmlformats.org/officeDocument/2006/relationships/image" Id="rId61" Target="media/rId61.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hyperlink" Id="rId315" Target="http://hdl.handle.net/1885/40940" TargetMode="External" /><Relationship Type="http://schemas.openxmlformats.org/officeDocument/2006/relationships/hyperlink" Id="rId233" Target="http://scholar.google.com/scholar?hl=en%7B\&amp;%7DbtnG=Search%7B\&amp;%7Dq=intitle:Running+Pure%7B\#%7D1" TargetMode="External" /><Relationship Type="http://schemas.openxmlformats.org/officeDocument/2006/relationships/hyperlink" Id="rId246" Target="http://sis.agr.gc.ca/cansis/soils/bc/soils.html" TargetMode="External" /><Relationship Type="http://schemas.openxmlformats.org/officeDocument/2006/relationships/hyperlink" Id="rId323" Target="http://www.jstor.com/stable/41295152" TargetMode="External" /><Relationship Type="http://schemas.openxmlformats.org/officeDocument/2006/relationships/hyperlink" Id="rId196" Target="http://www.standardmethods.org/" TargetMode="External" /><Relationship Type="http://schemas.openxmlformats.org/officeDocument/2006/relationships/hyperlink" Id="rId287" Target="https://archive.org/details/metaltransportre00lazeuoft/mode/2up" TargetMode="External" /><Relationship Type="http://schemas.openxmlformats.org/officeDocument/2006/relationships/hyperlink" Id="rId238" Target="https://doi.org/10.1002/(SICI)1099-1085(199903)13:4%3C563::AID-HYP711%3E3.0.CO;2-N" TargetMode="External" /><Relationship Type="http://schemas.openxmlformats.org/officeDocument/2006/relationships/hyperlink" Id="rId204" Target="https://doi.org/10.1002/(SICI)1099-1085(19990815)13:11%3C1541::AID-HYP832%3E3.0.CO;2-J" TargetMode="External" /><Relationship Type="http://schemas.openxmlformats.org/officeDocument/2006/relationships/hyperlink" Id="rId321" Target="https://doi.org/10.1002/2013WR014736" TargetMode="External" /><Relationship Type="http://schemas.openxmlformats.org/officeDocument/2006/relationships/hyperlink" Id="rId186" Target="https://doi.org/10.1002/2017WR021578" TargetMode="External" /><Relationship Type="http://schemas.openxmlformats.org/officeDocument/2006/relationships/hyperlink" Id="rId285" Target="https://doi.org/10.1002/hyp.9686" TargetMode="External" /><Relationship Type="http://schemas.openxmlformats.org/officeDocument/2006/relationships/hyperlink" Id="rId188" Target="https://doi.org/10.1002/j.1551-8833.1995.tb06299.x" TargetMode="External" /><Relationship Type="http://schemas.openxmlformats.org/officeDocument/2006/relationships/hyperlink" Id="rId265" Target="https://doi.org/10.1002/j.1551-8833.1995.tb06302.x" TargetMode="External" /><Relationship Type="http://schemas.openxmlformats.org/officeDocument/2006/relationships/hyperlink" Id="rId275" Target="https://doi.org/10.1002/j.1551-8833.2002.tb10250.x" TargetMode="External" /><Relationship Type="http://schemas.openxmlformats.org/officeDocument/2006/relationships/hyperlink" Id="rId295" Target="https://doi.org/10.1002/rra.1504" TargetMode="External" /><Relationship Type="http://schemas.openxmlformats.org/officeDocument/2006/relationships/hyperlink" Id="rId329" Target="https://doi.org/10.1002/wat2.1367" TargetMode="External" /><Relationship Type="http://schemas.openxmlformats.org/officeDocument/2006/relationships/hyperlink" Id="rId218" Target="https://doi.org/10.1007/978-94-007-1363-5" TargetMode="External" /><Relationship Type="http://schemas.openxmlformats.org/officeDocument/2006/relationships/hyperlink" Id="rId357" Target="https://doi.org/10.1007/s10533-008-9207-6" TargetMode="External" /><Relationship Type="http://schemas.openxmlformats.org/officeDocument/2006/relationships/hyperlink" Id="rId309" Target="https://doi.org/10.1007/s10533-015-0103-6" TargetMode="External" /><Relationship Type="http://schemas.openxmlformats.org/officeDocument/2006/relationships/hyperlink" Id="rId303" Target="https://doi.org/10.1007/s10533-018-0482-6" TargetMode="External" /><Relationship Type="http://schemas.openxmlformats.org/officeDocument/2006/relationships/hyperlink" Id="rId355" Target="https://doi.org/10.1007/s10533-019-00561-w" TargetMode="External" /><Relationship Type="http://schemas.openxmlformats.org/officeDocument/2006/relationships/hyperlink" Id="rId325" Target="https://doi.org/10.1007/s11270-013-1651-9" TargetMode="External" /><Relationship Type="http://schemas.openxmlformats.org/officeDocument/2006/relationships/hyperlink" Id="rId361" Target="https://doi.org/10.1007/s11356-015-4078-6" TargetMode="External" /><Relationship Type="http://schemas.openxmlformats.org/officeDocument/2006/relationships/hyperlink" Id="rId202" Target="https://doi.org/10.1007/s11749-016-0481-7" TargetMode="External" /><Relationship Type="http://schemas.openxmlformats.org/officeDocument/2006/relationships/hyperlink" Id="rId337" Target="https://doi.org/10.1007/sl0533-010-9416-7" TargetMode="External" /><Relationship Type="http://schemas.openxmlformats.org/officeDocument/2006/relationships/hyperlink" Id="rId227" Target="https://doi.org/10.1016/B978-0-12-382092-1.00019-1" TargetMode="External" /><Relationship Type="http://schemas.openxmlformats.org/officeDocument/2006/relationships/hyperlink" Id="rId311" Target="https://doi.org/10.1016/J.JHYDROL.2018.09.011" TargetMode="External" /><Relationship Type="http://schemas.openxmlformats.org/officeDocument/2006/relationships/hyperlink" Id="rId331" Target="https://doi.org/10.1016/S0003-2670(96)00412-6" TargetMode="External" /><Relationship Type="http://schemas.openxmlformats.org/officeDocument/2006/relationships/hyperlink" Id="rId313" Target="https://doi.org/10.1016/j.advwatres.2015.09.026" TargetMode="External" /><Relationship Type="http://schemas.openxmlformats.org/officeDocument/2006/relationships/hyperlink" Id="rId297" Target="https://doi.org/10.1016/j.chemosphere.2011.01.018" TargetMode="External" /><Relationship Type="http://schemas.openxmlformats.org/officeDocument/2006/relationships/hyperlink" Id="rId299" Target="https://doi.org/10.1016/j.cis.2010.06.007" TargetMode="External" /><Relationship Type="http://schemas.openxmlformats.org/officeDocument/2006/relationships/hyperlink" Id="rId349" Target="https://doi.org/10.1016/j.jenvman.2007.03.001" TargetMode="External" /><Relationship Type="http://schemas.openxmlformats.org/officeDocument/2006/relationships/hyperlink" Id="rId291" Target="https://doi.org/10.1016/j.jhazmat.2014.02.009" TargetMode="External" /><Relationship Type="http://schemas.openxmlformats.org/officeDocument/2006/relationships/hyperlink" Id="rId192" Target="https://doi.org/10.1016/j.jhydrol.2014.05.060" TargetMode="External" /><Relationship Type="http://schemas.openxmlformats.org/officeDocument/2006/relationships/hyperlink" Id="rId244" Target="https://doi.org/10.1016/j.scitotenv.2007.11.027" TargetMode="External" /><Relationship Type="http://schemas.openxmlformats.org/officeDocument/2006/relationships/hyperlink" Id="rId341" Target="https://doi.org/10.1016/j.scitotenv.2016.09.113" TargetMode="External" /><Relationship Type="http://schemas.openxmlformats.org/officeDocument/2006/relationships/hyperlink" Id="rId235" Target="https://doi.org/10.1016/j.watres.2010.08.051" TargetMode="External" /><Relationship Type="http://schemas.openxmlformats.org/officeDocument/2006/relationships/hyperlink" Id="rId229" Target="https://doi.org/10.1016/j.watres.2016.08.031" TargetMode="External" /><Relationship Type="http://schemas.openxmlformats.org/officeDocument/2006/relationships/hyperlink" Id="rId200" Target="https://doi.org/10.1016/j.watres.2017.12.031" TargetMode="External" /><Relationship Type="http://schemas.openxmlformats.org/officeDocument/2006/relationships/hyperlink" Id="rId267" Target="https://doi.org/10.1017/CBO9781107415379.008" TargetMode="External" /><Relationship Type="http://schemas.openxmlformats.org/officeDocument/2006/relationships/hyperlink" Id="rId277" Target="https://doi.org/10.1021/acs.est.7b05513" TargetMode="External" /><Relationship Type="http://schemas.openxmlformats.org/officeDocument/2006/relationships/hyperlink" Id="rId359" Target="https://doi.org/10.1021/es030360x" TargetMode="External" /><Relationship Type="http://schemas.openxmlformats.org/officeDocument/2006/relationships/hyperlink" Id="rId190" Target="https://doi.org/10.1021/es103992s" TargetMode="External" /><Relationship Type="http://schemas.openxmlformats.org/officeDocument/2006/relationships/hyperlink" Id="rId293" Target="https://doi.org/10.1023/A:1010933404324" TargetMode="External" /><Relationship Type="http://schemas.openxmlformats.org/officeDocument/2006/relationships/hyperlink" Id="rId263" Target="https://doi.org/10.1029/2005JG000082" TargetMode="External" /><Relationship Type="http://schemas.openxmlformats.org/officeDocument/2006/relationships/hyperlink" Id="rId281" Target="https://doi.org/10.1029/2005WR004362" TargetMode="External" /><Relationship Type="http://schemas.openxmlformats.org/officeDocument/2006/relationships/hyperlink" Id="rId194" Target="https://doi.org/10.1029/2007JG000674" TargetMode="External" /><Relationship Type="http://schemas.openxmlformats.org/officeDocument/2006/relationships/hyperlink" Id="rId301" Target="https://doi.org/10.1029/2010WR009341" TargetMode="External" /><Relationship Type="http://schemas.openxmlformats.org/officeDocument/2006/relationships/hyperlink" Id="rId363" Target="https://doi.org/10.1029/2018GL080005" TargetMode="External" /><Relationship Type="http://schemas.openxmlformats.org/officeDocument/2006/relationships/hyperlink" Id="rId240" Target="https://doi.org/10.1029/97WR01881" TargetMode="External" /><Relationship Type="http://schemas.openxmlformats.org/officeDocument/2006/relationships/hyperlink" Id="rId347" Target="https://doi.org/10.1037/a0016973" TargetMode="External" /><Relationship Type="http://schemas.openxmlformats.org/officeDocument/2006/relationships/hyperlink" Id="rId335" Target="https://doi.org/10.1086/680682" TargetMode="External" /><Relationship Type="http://schemas.openxmlformats.org/officeDocument/2006/relationships/hyperlink" Id="rId271" Target="https://doi.org/10.1097/00010694-200004000-00001" TargetMode="External" /><Relationship Type="http://schemas.openxmlformats.org/officeDocument/2006/relationships/hyperlink" Id="rId184" Target="https://doi.org/10.1111/ele.12897" TargetMode="External" /><Relationship Type="http://schemas.openxmlformats.org/officeDocument/2006/relationships/hyperlink" Id="rId343" Target="https://doi.org/10.1111/j.1365-2427.2011.02613.x" TargetMode="External" /><Relationship Type="http://schemas.openxmlformats.org/officeDocument/2006/relationships/hyperlink" Id="rId242" Target="https://doi.org/10.1111/j.1752-1688.2005.tb03771.x" TargetMode="External" /><Relationship Type="http://schemas.openxmlformats.org/officeDocument/2006/relationships/hyperlink" Id="rId225" Target="https://doi.org/10.1139/cjfas-2014-0400" TargetMode="External" /><Relationship Type="http://schemas.openxmlformats.org/officeDocument/2006/relationships/hyperlink" Id="rId345" Target="https://doi.org/10.1186/1471-2105-9-307" TargetMode="External" /><Relationship Type="http://schemas.openxmlformats.org/officeDocument/2006/relationships/hyperlink" Id="rId206" Target="https://doi.org/10.1201/9780367816377-11" TargetMode="External" /><Relationship Type="http://schemas.openxmlformats.org/officeDocument/2006/relationships/hyperlink" Id="rId251" Target="https://doi.org/10.13031/2013.15662" TargetMode="External" /><Relationship Type="http://schemas.openxmlformats.org/officeDocument/2006/relationships/hyperlink" Id="rId307" Target="https://doi.org/10.14288/1.0387350" TargetMode="External" /><Relationship Type="http://schemas.openxmlformats.org/officeDocument/2006/relationships/hyperlink" Id="rId198" Target="https://doi.org/10.2105/SMWW.2882.113" TargetMode="External" /><Relationship Type="http://schemas.openxmlformats.org/officeDocument/2006/relationships/hyperlink" Id="rId216" Target="https://doi.org/10.2166/aqua.2008.064" TargetMode="External" /><Relationship Type="http://schemas.openxmlformats.org/officeDocument/2006/relationships/hyperlink" Id="rId289" Target="https://doi.org/10.2166/wcc.2016.011" TargetMode="External" /><Relationship Type="http://schemas.openxmlformats.org/officeDocument/2006/relationships/hyperlink" Id="rId248" Target="https://doi.org/10.3133/fs06700" TargetMode="External" /><Relationship Type="http://schemas.openxmlformats.org/officeDocument/2006/relationships/hyperlink" Id="rId351" Target="https://doi.org/10.3390" TargetMode="External" /><Relationship Type="http://schemas.openxmlformats.org/officeDocument/2006/relationships/hyperlink" Id="rId319" Target="https://doi.org/10.5194/bg-10-2315-2013" TargetMode="External" /><Relationship Type="http://schemas.openxmlformats.org/officeDocument/2006/relationships/hyperlink" Id="rId283" Target="https://doi.org/10.5194/bg-11-3043-2014" TargetMode="External" /><Relationship Type="http://schemas.openxmlformats.org/officeDocument/2006/relationships/hyperlink" Id="rId317" Target="https://doi.org/10.5194/bg-14-3743-2017" TargetMode="External" /><Relationship Type="http://schemas.openxmlformats.org/officeDocument/2006/relationships/hyperlink" Id="rId279" Target="https://doi.org/10.5194/hess-24-3381-2020" TargetMode="External" /><Relationship Type="http://schemas.openxmlformats.org/officeDocument/2006/relationships/hyperlink" Id="rId222" Target="https://doi.org/IWSS-297445977-5079" TargetMode="External" /><Relationship Type="http://schemas.openxmlformats.org/officeDocument/2006/relationships/hyperlink" Id="rId269" Target="https://doi.org/doi:10.1046/j.1365-2427.1997.d01-539.x" TargetMode="External" /><Relationship Type="http://schemas.openxmlformats.org/officeDocument/2006/relationships/hyperlink" Id="rId327" Target="https://pacificclimate.org/analysis-tools/seasonal-anomaly-maps" TargetMode="External" /><Relationship Type="http://schemas.openxmlformats.org/officeDocument/2006/relationships/hyperlink" Id="rId231" Target="https://pubs.er.usgs.gov/publication/sir20075282" TargetMode="External" /><Relationship Type="http://schemas.openxmlformats.org/officeDocument/2006/relationships/hyperlink" Id="rId211" Target="https://soilsofcanada.ca" TargetMode="External" /><Relationship Type="http://schemas.openxmlformats.org/officeDocument/2006/relationships/hyperlink" Id="rId253" Target="https://www.canada.ca/content/dam/hc-sc/documents/programs/consultation-organic-matter-drinking-water/NOM20190129-eng.pdf" TargetMode="External" /><Relationship Type="http://schemas.openxmlformats.org/officeDocument/2006/relationships/hyperlink" Id="rId255" Target="https://www.canada.ca/content/dam/hc-sc/migration/hc-sc/ewh-semt/alt%7B\_%7Dformats/pdf/pubs/water-eau/sum%7B\_%7Dguide-res%7B\_%7Drecom/summary-table-August-15-2019-eng.pdf" TargetMode="External" /><Relationship Type="http://schemas.openxmlformats.org/officeDocument/2006/relationships/hyperlink" Id="rId257" Target="https://www.canada.ca/en/health-canada/services/healthy-living/your-health/environment/drinking-water-chlorination.html" TargetMode="External" /><Relationship Type="http://schemas.openxmlformats.org/officeDocument/2006/relationships/hyperlink" Id="rId220" Target="https://www.crd.bc.ca/project/past-capital-projects-and-initiatives/water-supply-plan" TargetMode="External" /><Relationship Type="http://schemas.openxmlformats.org/officeDocument/2006/relationships/hyperlink" Id="rId213" Target="https://www.crd.bc.ca/service/public-tours/watershed-tours/facts-figures" TargetMode="External" /><Relationship Type="http://schemas.openxmlformats.org/officeDocument/2006/relationships/hyperlink" Id="rId33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9" Target="https://www.healthlinkbc.ca/healthlinkbc-files/drinking-water-chlorination" TargetMode="External" /><Relationship Type="http://schemas.openxmlformats.org/officeDocument/2006/relationships/hyperlink" Id="rId305" Target="https://www.jstor.org/stable/1937326" TargetMode="External" /><Relationship Type="http://schemas.openxmlformats.org/officeDocument/2006/relationships/hyperlink" Id="rId339" Target="https://www.jstor.org/stable/24702986" TargetMode="External" /><Relationship Type="http://schemas.openxmlformats.org/officeDocument/2006/relationships/hyperlink" Id="rId261" Target="https://www.jstor.org/stable/40058211" TargetMode="External" /><Relationship Type="http://schemas.openxmlformats.org/officeDocument/2006/relationships/hyperlink" Id="rId273" Target="https://www.jstor.org/stable/41311011" TargetMode="External" /><Relationship Type="http://schemas.openxmlformats.org/officeDocument/2006/relationships/hyperlink" Id="rId20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315" Target="http://hdl.handle.net/1885/40940" TargetMode="External" /><Relationship Type="http://schemas.openxmlformats.org/officeDocument/2006/relationships/hyperlink" Id="rId233" Target="http://scholar.google.com/scholar?hl=en%7B\&amp;%7DbtnG=Search%7B\&amp;%7Dq=intitle:Running+Pure%7B\#%7D1" TargetMode="External" /><Relationship Type="http://schemas.openxmlformats.org/officeDocument/2006/relationships/hyperlink" Id="rId246" Target="http://sis.agr.gc.ca/cansis/soils/bc/soils.html" TargetMode="External" /><Relationship Type="http://schemas.openxmlformats.org/officeDocument/2006/relationships/hyperlink" Id="rId323" Target="http://www.jstor.com/stable/41295152" TargetMode="External" /><Relationship Type="http://schemas.openxmlformats.org/officeDocument/2006/relationships/hyperlink" Id="rId196" Target="http://www.standardmethods.org/" TargetMode="External" /><Relationship Type="http://schemas.openxmlformats.org/officeDocument/2006/relationships/hyperlink" Id="rId287" Target="https://archive.org/details/metaltransportre00lazeuoft/mode/2up" TargetMode="External" /><Relationship Type="http://schemas.openxmlformats.org/officeDocument/2006/relationships/hyperlink" Id="rId238" Target="https://doi.org/10.1002/(SICI)1099-1085(199903)13:4%3C563::AID-HYP711%3E3.0.CO;2-N" TargetMode="External" /><Relationship Type="http://schemas.openxmlformats.org/officeDocument/2006/relationships/hyperlink" Id="rId204" Target="https://doi.org/10.1002/(SICI)1099-1085(19990815)13:11%3C1541::AID-HYP832%3E3.0.CO;2-J" TargetMode="External" /><Relationship Type="http://schemas.openxmlformats.org/officeDocument/2006/relationships/hyperlink" Id="rId321" Target="https://doi.org/10.1002/2013WR014736" TargetMode="External" /><Relationship Type="http://schemas.openxmlformats.org/officeDocument/2006/relationships/hyperlink" Id="rId186" Target="https://doi.org/10.1002/2017WR021578" TargetMode="External" /><Relationship Type="http://schemas.openxmlformats.org/officeDocument/2006/relationships/hyperlink" Id="rId285" Target="https://doi.org/10.1002/hyp.9686" TargetMode="External" /><Relationship Type="http://schemas.openxmlformats.org/officeDocument/2006/relationships/hyperlink" Id="rId188" Target="https://doi.org/10.1002/j.1551-8833.1995.tb06299.x" TargetMode="External" /><Relationship Type="http://schemas.openxmlformats.org/officeDocument/2006/relationships/hyperlink" Id="rId265" Target="https://doi.org/10.1002/j.1551-8833.1995.tb06302.x" TargetMode="External" /><Relationship Type="http://schemas.openxmlformats.org/officeDocument/2006/relationships/hyperlink" Id="rId275" Target="https://doi.org/10.1002/j.1551-8833.2002.tb10250.x" TargetMode="External" /><Relationship Type="http://schemas.openxmlformats.org/officeDocument/2006/relationships/hyperlink" Id="rId295" Target="https://doi.org/10.1002/rra.1504" TargetMode="External" /><Relationship Type="http://schemas.openxmlformats.org/officeDocument/2006/relationships/hyperlink" Id="rId329" Target="https://doi.org/10.1002/wat2.1367" TargetMode="External" /><Relationship Type="http://schemas.openxmlformats.org/officeDocument/2006/relationships/hyperlink" Id="rId218" Target="https://doi.org/10.1007/978-94-007-1363-5" TargetMode="External" /><Relationship Type="http://schemas.openxmlformats.org/officeDocument/2006/relationships/hyperlink" Id="rId357" Target="https://doi.org/10.1007/s10533-008-9207-6" TargetMode="External" /><Relationship Type="http://schemas.openxmlformats.org/officeDocument/2006/relationships/hyperlink" Id="rId309" Target="https://doi.org/10.1007/s10533-015-0103-6" TargetMode="External" /><Relationship Type="http://schemas.openxmlformats.org/officeDocument/2006/relationships/hyperlink" Id="rId303" Target="https://doi.org/10.1007/s10533-018-0482-6" TargetMode="External" /><Relationship Type="http://schemas.openxmlformats.org/officeDocument/2006/relationships/hyperlink" Id="rId355" Target="https://doi.org/10.1007/s10533-019-00561-w" TargetMode="External" /><Relationship Type="http://schemas.openxmlformats.org/officeDocument/2006/relationships/hyperlink" Id="rId325" Target="https://doi.org/10.1007/s11270-013-1651-9" TargetMode="External" /><Relationship Type="http://schemas.openxmlformats.org/officeDocument/2006/relationships/hyperlink" Id="rId361" Target="https://doi.org/10.1007/s11356-015-4078-6" TargetMode="External" /><Relationship Type="http://schemas.openxmlformats.org/officeDocument/2006/relationships/hyperlink" Id="rId202" Target="https://doi.org/10.1007/s11749-016-0481-7" TargetMode="External" /><Relationship Type="http://schemas.openxmlformats.org/officeDocument/2006/relationships/hyperlink" Id="rId337" Target="https://doi.org/10.1007/sl0533-010-9416-7" TargetMode="External" /><Relationship Type="http://schemas.openxmlformats.org/officeDocument/2006/relationships/hyperlink" Id="rId227" Target="https://doi.org/10.1016/B978-0-12-382092-1.00019-1" TargetMode="External" /><Relationship Type="http://schemas.openxmlformats.org/officeDocument/2006/relationships/hyperlink" Id="rId311" Target="https://doi.org/10.1016/J.JHYDROL.2018.09.011" TargetMode="External" /><Relationship Type="http://schemas.openxmlformats.org/officeDocument/2006/relationships/hyperlink" Id="rId331" Target="https://doi.org/10.1016/S0003-2670(96)00412-6" TargetMode="External" /><Relationship Type="http://schemas.openxmlformats.org/officeDocument/2006/relationships/hyperlink" Id="rId313" Target="https://doi.org/10.1016/j.advwatres.2015.09.026" TargetMode="External" /><Relationship Type="http://schemas.openxmlformats.org/officeDocument/2006/relationships/hyperlink" Id="rId297" Target="https://doi.org/10.1016/j.chemosphere.2011.01.018" TargetMode="External" /><Relationship Type="http://schemas.openxmlformats.org/officeDocument/2006/relationships/hyperlink" Id="rId299" Target="https://doi.org/10.1016/j.cis.2010.06.007" TargetMode="External" /><Relationship Type="http://schemas.openxmlformats.org/officeDocument/2006/relationships/hyperlink" Id="rId349" Target="https://doi.org/10.1016/j.jenvman.2007.03.001" TargetMode="External" /><Relationship Type="http://schemas.openxmlformats.org/officeDocument/2006/relationships/hyperlink" Id="rId291" Target="https://doi.org/10.1016/j.jhazmat.2014.02.009" TargetMode="External" /><Relationship Type="http://schemas.openxmlformats.org/officeDocument/2006/relationships/hyperlink" Id="rId192" Target="https://doi.org/10.1016/j.jhydrol.2014.05.060" TargetMode="External" /><Relationship Type="http://schemas.openxmlformats.org/officeDocument/2006/relationships/hyperlink" Id="rId244" Target="https://doi.org/10.1016/j.scitotenv.2007.11.027" TargetMode="External" /><Relationship Type="http://schemas.openxmlformats.org/officeDocument/2006/relationships/hyperlink" Id="rId341" Target="https://doi.org/10.1016/j.scitotenv.2016.09.113" TargetMode="External" /><Relationship Type="http://schemas.openxmlformats.org/officeDocument/2006/relationships/hyperlink" Id="rId235" Target="https://doi.org/10.1016/j.watres.2010.08.051" TargetMode="External" /><Relationship Type="http://schemas.openxmlformats.org/officeDocument/2006/relationships/hyperlink" Id="rId229" Target="https://doi.org/10.1016/j.watres.2016.08.031" TargetMode="External" /><Relationship Type="http://schemas.openxmlformats.org/officeDocument/2006/relationships/hyperlink" Id="rId200" Target="https://doi.org/10.1016/j.watres.2017.12.031" TargetMode="External" /><Relationship Type="http://schemas.openxmlformats.org/officeDocument/2006/relationships/hyperlink" Id="rId267" Target="https://doi.org/10.1017/CBO9781107415379.008" TargetMode="External" /><Relationship Type="http://schemas.openxmlformats.org/officeDocument/2006/relationships/hyperlink" Id="rId277" Target="https://doi.org/10.1021/acs.est.7b05513" TargetMode="External" /><Relationship Type="http://schemas.openxmlformats.org/officeDocument/2006/relationships/hyperlink" Id="rId359" Target="https://doi.org/10.1021/es030360x" TargetMode="External" /><Relationship Type="http://schemas.openxmlformats.org/officeDocument/2006/relationships/hyperlink" Id="rId190" Target="https://doi.org/10.1021/es103992s" TargetMode="External" /><Relationship Type="http://schemas.openxmlformats.org/officeDocument/2006/relationships/hyperlink" Id="rId293" Target="https://doi.org/10.1023/A:1010933404324" TargetMode="External" /><Relationship Type="http://schemas.openxmlformats.org/officeDocument/2006/relationships/hyperlink" Id="rId263" Target="https://doi.org/10.1029/2005JG000082" TargetMode="External" /><Relationship Type="http://schemas.openxmlformats.org/officeDocument/2006/relationships/hyperlink" Id="rId281" Target="https://doi.org/10.1029/2005WR004362" TargetMode="External" /><Relationship Type="http://schemas.openxmlformats.org/officeDocument/2006/relationships/hyperlink" Id="rId194" Target="https://doi.org/10.1029/2007JG000674" TargetMode="External" /><Relationship Type="http://schemas.openxmlformats.org/officeDocument/2006/relationships/hyperlink" Id="rId301" Target="https://doi.org/10.1029/2010WR009341" TargetMode="External" /><Relationship Type="http://schemas.openxmlformats.org/officeDocument/2006/relationships/hyperlink" Id="rId363" Target="https://doi.org/10.1029/2018GL080005" TargetMode="External" /><Relationship Type="http://schemas.openxmlformats.org/officeDocument/2006/relationships/hyperlink" Id="rId240" Target="https://doi.org/10.1029/97WR01881" TargetMode="External" /><Relationship Type="http://schemas.openxmlformats.org/officeDocument/2006/relationships/hyperlink" Id="rId347" Target="https://doi.org/10.1037/a0016973" TargetMode="External" /><Relationship Type="http://schemas.openxmlformats.org/officeDocument/2006/relationships/hyperlink" Id="rId335" Target="https://doi.org/10.1086/680682" TargetMode="External" /><Relationship Type="http://schemas.openxmlformats.org/officeDocument/2006/relationships/hyperlink" Id="rId271" Target="https://doi.org/10.1097/00010694-200004000-00001" TargetMode="External" /><Relationship Type="http://schemas.openxmlformats.org/officeDocument/2006/relationships/hyperlink" Id="rId184" Target="https://doi.org/10.1111/ele.12897" TargetMode="External" /><Relationship Type="http://schemas.openxmlformats.org/officeDocument/2006/relationships/hyperlink" Id="rId343" Target="https://doi.org/10.1111/j.1365-2427.2011.02613.x" TargetMode="External" /><Relationship Type="http://schemas.openxmlformats.org/officeDocument/2006/relationships/hyperlink" Id="rId242" Target="https://doi.org/10.1111/j.1752-1688.2005.tb03771.x" TargetMode="External" /><Relationship Type="http://schemas.openxmlformats.org/officeDocument/2006/relationships/hyperlink" Id="rId225" Target="https://doi.org/10.1139/cjfas-2014-0400" TargetMode="External" /><Relationship Type="http://schemas.openxmlformats.org/officeDocument/2006/relationships/hyperlink" Id="rId345" Target="https://doi.org/10.1186/1471-2105-9-307" TargetMode="External" /><Relationship Type="http://schemas.openxmlformats.org/officeDocument/2006/relationships/hyperlink" Id="rId206" Target="https://doi.org/10.1201/9780367816377-11" TargetMode="External" /><Relationship Type="http://schemas.openxmlformats.org/officeDocument/2006/relationships/hyperlink" Id="rId251" Target="https://doi.org/10.13031/2013.15662" TargetMode="External" /><Relationship Type="http://schemas.openxmlformats.org/officeDocument/2006/relationships/hyperlink" Id="rId307" Target="https://doi.org/10.14288/1.0387350" TargetMode="External" /><Relationship Type="http://schemas.openxmlformats.org/officeDocument/2006/relationships/hyperlink" Id="rId198" Target="https://doi.org/10.2105/SMWW.2882.113" TargetMode="External" /><Relationship Type="http://schemas.openxmlformats.org/officeDocument/2006/relationships/hyperlink" Id="rId216" Target="https://doi.org/10.2166/aqua.2008.064" TargetMode="External" /><Relationship Type="http://schemas.openxmlformats.org/officeDocument/2006/relationships/hyperlink" Id="rId289" Target="https://doi.org/10.2166/wcc.2016.011" TargetMode="External" /><Relationship Type="http://schemas.openxmlformats.org/officeDocument/2006/relationships/hyperlink" Id="rId248" Target="https://doi.org/10.3133/fs06700" TargetMode="External" /><Relationship Type="http://schemas.openxmlformats.org/officeDocument/2006/relationships/hyperlink" Id="rId351" Target="https://doi.org/10.3390" TargetMode="External" /><Relationship Type="http://schemas.openxmlformats.org/officeDocument/2006/relationships/hyperlink" Id="rId319" Target="https://doi.org/10.5194/bg-10-2315-2013" TargetMode="External" /><Relationship Type="http://schemas.openxmlformats.org/officeDocument/2006/relationships/hyperlink" Id="rId283" Target="https://doi.org/10.5194/bg-11-3043-2014" TargetMode="External" /><Relationship Type="http://schemas.openxmlformats.org/officeDocument/2006/relationships/hyperlink" Id="rId317" Target="https://doi.org/10.5194/bg-14-3743-2017" TargetMode="External" /><Relationship Type="http://schemas.openxmlformats.org/officeDocument/2006/relationships/hyperlink" Id="rId279" Target="https://doi.org/10.5194/hess-24-3381-2020" TargetMode="External" /><Relationship Type="http://schemas.openxmlformats.org/officeDocument/2006/relationships/hyperlink" Id="rId222" Target="https://doi.org/IWSS-297445977-5079" TargetMode="External" /><Relationship Type="http://schemas.openxmlformats.org/officeDocument/2006/relationships/hyperlink" Id="rId269" Target="https://doi.org/doi:10.1046/j.1365-2427.1997.d01-539.x" TargetMode="External" /><Relationship Type="http://schemas.openxmlformats.org/officeDocument/2006/relationships/hyperlink" Id="rId327" Target="https://pacificclimate.org/analysis-tools/seasonal-anomaly-maps" TargetMode="External" /><Relationship Type="http://schemas.openxmlformats.org/officeDocument/2006/relationships/hyperlink" Id="rId231" Target="https://pubs.er.usgs.gov/publication/sir20075282" TargetMode="External" /><Relationship Type="http://schemas.openxmlformats.org/officeDocument/2006/relationships/hyperlink" Id="rId211" Target="https://soilsofcanada.ca" TargetMode="External" /><Relationship Type="http://schemas.openxmlformats.org/officeDocument/2006/relationships/hyperlink" Id="rId253" Target="https://www.canada.ca/content/dam/hc-sc/documents/programs/consultation-organic-matter-drinking-water/NOM20190129-eng.pdf" TargetMode="External" /><Relationship Type="http://schemas.openxmlformats.org/officeDocument/2006/relationships/hyperlink" Id="rId255" Target="https://www.canada.ca/content/dam/hc-sc/migration/hc-sc/ewh-semt/alt%7B\_%7Dformats/pdf/pubs/water-eau/sum%7B\_%7Dguide-res%7B\_%7Drecom/summary-table-August-15-2019-eng.pdf" TargetMode="External" /><Relationship Type="http://schemas.openxmlformats.org/officeDocument/2006/relationships/hyperlink" Id="rId257" Target="https://www.canada.ca/en/health-canada/services/healthy-living/your-health/environment/drinking-water-chlorination.html" TargetMode="External" /><Relationship Type="http://schemas.openxmlformats.org/officeDocument/2006/relationships/hyperlink" Id="rId220" Target="https://www.crd.bc.ca/project/past-capital-projects-and-initiatives/water-supply-plan" TargetMode="External" /><Relationship Type="http://schemas.openxmlformats.org/officeDocument/2006/relationships/hyperlink" Id="rId213" Target="https://www.crd.bc.ca/service/public-tours/watershed-tours/facts-figures" TargetMode="External" /><Relationship Type="http://schemas.openxmlformats.org/officeDocument/2006/relationships/hyperlink" Id="rId33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59" Target="https://www.healthlinkbc.ca/healthlinkbc-files/drinking-water-chlorination" TargetMode="External" /><Relationship Type="http://schemas.openxmlformats.org/officeDocument/2006/relationships/hyperlink" Id="rId305" Target="https://www.jstor.org/stable/1937326" TargetMode="External" /><Relationship Type="http://schemas.openxmlformats.org/officeDocument/2006/relationships/hyperlink" Id="rId339" Target="https://www.jstor.org/stable/24702986" TargetMode="External" /><Relationship Type="http://schemas.openxmlformats.org/officeDocument/2006/relationships/hyperlink" Id="rId261" Target="https://www.jstor.org/stable/40058211" TargetMode="External" /><Relationship Type="http://schemas.openxmlformats.org/officeDocument/2006/relationships/hyperlink" Id="rId273" Target="https://www.jstor.org/stable/41311011" TargetMode="External" /><Relationship Type="http://schemas.openxmlformats.org/officeDocument/2006/relationships/hyperlink" Id="rId20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32</Pages>
  <Words>3145</Words>
  <Characters>17930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21033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a second growth forested drinking water supply area on Vancouver Island, BC</dc:title>
  <dc:creator>Hannah J. McSorley</dc:creator>
  <cp:keywords/>
  <dcterms:created xsi:type="dcterms:W3CDTF">2020-12-01T05:02:36Z</dcterms:created>
  <dcterms:modified xsi:type="dcterms:W3CDTF">2020-12-01T05:02:36Z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